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0EFB" w14:textId="77777777" w:rsidR="004E5D59" w:rsidRPr="00EA60E3" w:rsidRDefault="000625F9" w:rsidP="00EA60E3">
      <w:pPr>
        <w:pStyle w:val="Heading1"/>
        <w:jc w:val="center"/>
        <w:rPr>
          <w:color w:val="000000" w:themeColor="text1"/>
          <w:u w:val="single"/>
        </w:rPr>
      </w:pPr>
      <w:r w:rsidRPr="00EA60E3">
        <w:rPr>
          <w:color w:val="000000" w:themeColor="text1"/>
          <w:u w:val="single"/>
        </w:rPr>
        <w:t>TEAM VELOCIRACERS</w:t>
      </w:r>
    </w:p>
    <w:p w14:paraId="39AA766E" w14:textId="77777777" w:rsidR="004E5D59" w:rsidRPr="00EA60E3" w:rsidRDefault="000625F9">
      <w:pPr>
        <w:pStyle w:val="Heading2"/>
        <w:rPr>
          <w:color w:val="000000" w:themeColor="text1"/>
        </w:rPr>
      </w:pPr>
      <w:r w:rsidRPr="00EA60E3">
        <w:rPr>
          <w:color w:val="000000" w:themeColor="text1"/>
        </w:rPr>
        <w:t>About the Team</w:t>
      </w:r>
    </w:p>
    <w:p w14:paraId="5B8E2B68" w14:textId="77777777" w:rsidR="004E5D59" w:rsidRPr="00EA60E3" w:rsidRDefault="000625F9">
      <w:pPr>
        <w:spacing w:before="60" w:after="100"/>
        <w:jc w:val="both"/>
        <w:rPr>
          <w:color w:val="000000" w:themeColor="text1"/>
        </w:rPr>
      </w:pPr>
      <w:r w:rsidRPr="00EA60E3">
        <w:rPr>
          <w:color w:val="000000" w:themeColor="text1"/>
        </w:rPr>
        <w:t xml:space="preserve">Team </w:t>
      </w:r>
      <w:proofErr w:type="spellStart"/>
      <w:r w:rsidRPr="00EA60E3">
        <w:rPr>
          <w:color w:val="000000" w:themeColor="text1"/>
        </w:rPr>
        <w:t>Velociracers</w:t>
      </w:r>
      <w:proofErr w:type="spellEnd"/>
      <w:r w:rsidRPr="00EA60E3">
        <w:rPr>
          <w:color w:val="000000" w:themeColor="text1"/>
        </w:rPr>
        <w:t xml:space="preserve"> is the competitive automotive engineering club of COEP Technological University, dedicated to designing, building, and racing innovative vehicles. The team provides members with multidisciplinary engineering exposure spanning mechanical, electrical, electronics, and software domains through participation in nationally recognized competitions.</w:t>
      </w:r>
    </w:p>
    <w:p w14:paraId="78241FA0" w14:textId="77777777" w:rsidR="004E5D59" w:rsidRPr="00EA60E3" w:rsidRDefault="004E5D59">
      <w:pPr>
        <w:spacing w:before="80" w:after="80"/>
        <w:rPr>
          <w:color w:val="000000" w:themeColor="text1"/>
        </w:rPr>
      </w:pPr>
    </w:p>
    <w:p w14:paraId="4808BA9B" w14:textId="77777777" w:rsidR="004E5D59" w:rsidRPr="00EA60E3" w:rsidRDefault="000625F9">
      <w:pPr>
        <w:pStyle w:val="Heading2"/>
        <w:rPr>
          <w:color w:val="000000" w:themeColor="text1"/>
        </w:rPr>
      </w:pPr>
      <w:r w:rsidRPr="00EA60E3">
        <w:rPr>
          <w:color w:val="000000" w:themeColor="text1"/>
        </w:rPr>
        <w:t>Introduction</w:t>
      </w:r>
    </w:p>
    <w:p w14:paraId="11EB9A2A" w14:textId="77777777" w:rsidR="004E5D59" w:rsidRPr="00EA60E3" w:rsidRDefault="000625F9">
      <w:pPr>
        <w:spacing w:before="60" w:after="100"/>
        <w:jc w:val="both"/>
        <w:rPr>
          <w:color w:val="000000" w:themeColor="text1"/>
        </w:rPr>
      </w:pPr>
      <w:r w:rsidRPr="00EA60E3">
        <w:rPr>
          <w:color w:val="000000" w:themeColor="text1"/>
        </w:rPr>
        <w:t xml:space="preserve">This report summarizes the activities and progress of Team </w:t>
      </w:r>
      <w:proofErr w:type="spellStart"/>
      <w:r w:rsidRPr="00EA60E3">
        <w:rPr>
          <w:color w:val="000000" w:themeColor="text1"/>
        </w:rPr>
        <w:t>Velociracers</w:t>
      </w:r>
      <w:proofErr w:type="spellEnd"/>
      <w:r w:rsidRPr="00EA60E3">
        <w:rPr>
          <w:color w:val="000000" w:themeColor="text1"/>
        </w:rPr>
        <w:t xml:space="preserve"> for the academic year 2024-25, highlighting engagement in the SAE Range Extended Electric Vehicle (REEV) Competition. The competition serves as a crucial link between academic learning and the demands of the automotive industry, simulating real-world OEM-level engagement across mechanical, electrical, electronics, and computer science domains. Judging encompasses both static and dynamic events evaluating technical design, cost-effectiveness, and overall performance.</w:t>
      </w:r>
    </w:p>
    <w:p w14:paraId="1685E62C" w14:textId="77777777" w:rsidR="004E5D59" w:rsidRPr="00EA60E3" w:rsidRDefault="004E5D59">
      <w:pPr>
        <w:spacing w:before="80" w:after="80"/>
        <w:rPr>
          <w:color w:val="000000" w:themeColor="text1"/>
        </w:rPr>
      </w:pPr>
    </w:p>
    <w:p w14:paraId="29DBE035" w14:textId="77777777" w:rsidR="004E5D59" w:rsidRPr="00EA60E3" w:rsidRDefault="000625F9">
      <w:pPr>
        <w:pStyle w:val="Heading2"/>
        <w:rPr>
          <w:color w:val="000000" w:themeColor="text1"/>
        </w:rPr>
      </w:pPr>
      <w:r w:rsidRPr="00EA60E3">
        <w:rPr>
          <w:color w:val="000000" w:themeColor="text1"/>
        </w:rPr>
        <w:t>Vehicle Concept and Design</w:t>
      </w:r>
    </w:p>
    <w:p w14:paraId="733509E6" w14:textId="77777777" w:rsidR="004E5D59" w:rsidRPr="00EA60E3" w:rsidRDefault="000625F9">
      <w:pPr>
        <w:spacing w:before="60" w:after="100"/>
        <w:jc w:val="both"/>
        <w:rPr>
          <w:color w:val="000000" w:themeColor="text1"/>
        </w:rPr>
      </w:pPr>
      <w:r w:rsidRPr="00EA60E3">
        <w:rPr>
          <w:color w:val="000000" w:themeColor="text1"/>
        </w:rPr>
        <w:t>For this competition, the team is designing and constructing a Range-Extended Electric Vehicle (REEV). This vehicle utilizes an electric powertrain as its primary source of propulsion, complemented by an internal combustion engine functioning as a generator to extend operational range when the battery depletes. This hybrid architecture balances electric efficiency and practical range, making it well-suited for urban mobility applications.</w:t>
      </w:r>
    </w:p>
    <w:p w14:paraId="54C9A2AE" w14:textId="77777777" w:rsidR="004E5D59" w:rsidRPr="00EA60E3" w:rsidRDefault="004E5D59">
      <w:pPr>
        <w:spacing w:before="80" w:after="80"/>
        <w:rPr>
          <w:color w:val="000000" w:themeColor="text1"/>
        </w:rPr>
      </w:pPr>
    </w:p>
    <w:p w14:paraId="5672DD3A" w14:textId="77777777" w:rsidR="004E5D59" w:rsidRPr="00EA60E3" w:rsidRDefault="000625F9">
      <w:pPr>
        <w:pStyle w:val="Heading2"/>
        <w:rPr>
          <w:color w:val="000000" w:themeColor="text1"/>
        </w:rPr>
      </w:pPr>
      <w:r w:rsidRPr="00EA60E3">
        <w:rPr>
          <w:color w:val="000000" w:themeColor="text1"/>
        </w:rPr>
        <w:t>Activities Conducted</w:t>
      </w:r>
    </w:p>
    <w:p w14:paraId="0F9DE91E" w14:textId="77777777" w:rsidR="004E5D59" w:rsidRPr="00EA60E3" w:rsidRDefault="004E5D59">
      <w:pPr>
        <w:spacing w:before="40" w:after="40"/>
        <w:rPr>
          <w:color w:val="000000" w:themeColor="text1"/>
        </w:rPr>
      </w:pPr>
    </w:p>
    <w:p w14:paraId="3804DEB8" w14:textId="77777777" w:rsidR="004E5D59" w:rsidRPr="00EA60E3" w:rsidRDefault="000625F9">
      <w:pPr>
        <w:spacing w:before="60" w:after="100"/>
        <w:jc w:val="both"/>
        <w:rPr>
          <w:color w:val="000000" w:themeColor="text1"/>
        </w:rPr>
      </w:pPr>
      <w:r w:rsidRPr="00EA60E3">
        <w:rPr>
          <w:b/>
          <w:bCs/>
          <w:color w:val="000000" w:themeColor="text1"/>
        </w:rPr>
        <w:t>1. Chassis Manufacturing</w:t>
      </w:r>
    </w:p>
    <w:p w14:paraId="2DE102E0" w14:textId="77777777" w:rsidR="004E5D59" w:rsidRPr="00EA60E3" w:rsidRDefault="000625F9">
      <w:pPr>
        <w:spacing w:before="60" w:after="100"/>
        <w:jc w:val="both"/>
        <w:rPr>
          <w:color w:val="000000" w:themeColor="text1"/>
        </w:rPr>
      </w:pPr>
      <w:r w:rsidRPr="00EA60E3">
        <w:rPr>
          <w:color w:val="000000" w:themeColor="text1"/>
        </w:rPr>
        <w:t>The chassis — forming the structural foundation of the vehicle — was fully manufactured during this year. The process involved sheet metal fabrication including laser cutting and welding, ensuring the structural rigidity and dimensional accuracy required for competitive performance.</w:t>
      </w:r>
    </w:p>
    <w:p w14:paraId="2C381089" w14:textId="77777777" w:rsidR="004E5D59" w:rsidRPr="00EA60E3" w:rsidRDefault="000625F9">
      <w:pPr>
        <w:spacing w:before="60" w:after="100"/>
        <w:jc w:val="both"/>
        <w:rPr>
          <w:color w:val="000000" w:themeColor="text1"/>
        </w:rPr>
      </w:pPr>
      <w:r w:rsidRPr="00EA60E3">
        <w:rPr>
          <w:b/>
          <w:bCs/>
          <w:color w:val="000000" w:themeColor="text1"/>
        </w:rPr>
        <w:t>2. Vehicle Dynamics Manufacturing</w:t>
      </w:r>
    </w:p>
    <w:p w14:paraId="7DDF2458" w14:textId="77777777" w:rsidR="004E5D59" w:rsidRPr="00EA60E3" w:rsidRDefault="000625F9">
      <w:pPr>
        <w:spacing w:before="60" w:after="100"/>
        <w:jc w:val="both"/>
        <w:rPr>
          <w:color w:val="000000" w:themeColor="text1"/>
        </w:rPr>
      </w:pPr>
      <w:r w:rsidRPr="00EA60E3">
        <w:rPr>
          <w:color w:val="000000" w:themeColor="text1"/>
        </w:rPr>
        <w:t>Manufacturing of vehicle dynamics components including the steering assembly, gear systems, springs, and dampers was initiated. These components are being precision-manufactured using CNC machining, casting, and forging processes to ensure optimal handling and ride quality.</w:t>
      </w:r>
    </w:p>
    <w:p w14:paraId="7482363B" w14:textId="77777777" w:rsidR="004E5D59" w:rsidRPr="00EA60E3" w:rsidRDefault="000625F9">
      <w:pPr>
        <w:spacing w:before="60" w:after="100"/>
        <w:jc w:val="both"/>
        <w:rPr>
          <w:color w:val="000000" w:themeColor="text1"/>
        </w:rPr>
      </w:pPr>
      <w:r w:rsidRPr="00EA60E3">
        <w:rPr>
          <w:b/>
          <w:bCs/>
          <w:color w:val="000000" w:themeColor="text1"/>
        </w:rPr>
        <w:t>3. Powertrain Testing</w:t>
      </w:r>
    </w:p>
    <w:p w14:paraId="426775C9" w14:textId="77777777" w:rsidR="004E5D59" w:rsidRPr="00EA60E3" w:rsidRDefault="000625F9">
      <w:pPr>
        <w:spacing w:before="60" w:after="100"/>
        <w:jc w:val="both"/>
        <w:rPr>
          <w:color w:val="000000" w:themeColor="text1"/>
        </w:rPr>
      </w:pPr>
      <w:r w:rsidRPr="00EA60E3">
        <w:rPr>
          <w:color w:val="000000" w:themeColor="text1"/>
        </w:rPr>
        <w:t>Test bench experiments were conducted in collaboration with the Electrical Department to evaluate the efficiency of the engine and generator. Performance characteristics and energy conversion capabilities were assessed, and the data gathered will directly inform calibration and tuning strategy.</w:t>
      </w:r>
    </w:p>
    <w:p w14:paraId="161E7FB5" w14:textId="77777777" w:rsidR="004E5D59" w:rsidRPr="00EA60E3" w:rsidRDefault="000625F9">
      <w:pPr>
        <w:spacing w:before="60" w:after="100"/>
        <w:jc w:val="both"/>
        <w:rPr>
          <w:color w:val="000000" w:themeColor="text1"/>
        </w:rPr>
      </w:pPr>
      <w:r w:rsidRPr="00EA60E3">
        <w:rPr>
          <w:b/>
          <w:bCs/>
          <w:color w:val="000000" w:themeColor="text1"/>
        </w:rPr>
        <w:t>4. Industry Visits</w:t>
      </w:r>
    </w:p>
    <w:p w14:paraId="2B15F482" w14:textId="77777777" w:rsidR="004E5D59" w:rsidRPr="00EA60E3" w:rsidRDefault="000625F9">
      <w:pPr>
        <w:spacing w:before="60" w:after="100"/>
        <w:jc w:val="both"/>
        <w:rPr>
          <w:color w:val="000000" w:themeColor="text1"/>
        </w:rPr>
      </w:pPr>
      <w:r w:rsidRPr="00EA60E3">
        <w:rPr>
          <w:color w:val="000000" w:themeColor="text1"/>
        </w:rPr>
        <w:t>The club organized visits to laser cutting and welding facilities as well as major manufacturing companies. These visits provided team members with firsthand exposure to advanced manufacturing technologies and industry best practices relevant to the project.</w:t>
      </w:r>
    </w:p>
    <w:p w14:paraId="0451EA15" w14:textId="77777777" w:rsidR="004E5D59" w:rsidRPr="00EA60E3" w:rsidRDefault="004E5D59">
      <w:pPr>
        <w:spacing w:before="80" w:after="80"/>
        <w:rPr>
          <w:color w:val="000000" w:themeColor="text1"/>
        </w:rPr>
      </w:pPr>
    </w:p>
    <w:p w14:paraId="558DECB6" w14:textId="77777777" w:rsidR="004E5D59" w:rsidRPr="00EA60E3" w:rsidRDefault="000625F9">
      <w:pPr>
        <w:pStyle w:val="Heading2"/>
        <w:rPr>
          <w:color w:val="000000" w:themeColor="text1"/>
        </w:rPr>
      </w:pPr>
      <w:r w:rsidRPr="00EA60E3">
        <w:rPr>
          <w:color w:val="000000" w:themeColor="text1"/>
        </w:rPr>
        <w:t>Research and Development Areas</w:t>
      </w:r>
    </w:p>
    <w:p w14:paraId="40BEEE17" w14:textId="77777777" w:rsidR="004E5D59" w:rsidRPr="00EA60E3" w:rsidRDefault="000625F9">
      <w:pPr>
        <w:pStyle w:val="ListParagraph"/>
        <w:numPr>
          <w:ilvl w:val="0"/>
          <w:numId w:val="2"/>
        </w:numPr>
        <w:spacing w:before="40" w:after="40"/>
        <w:rPr>
          <w:color w:val="000000" w:themeColor="text1"/>
        </w:rPr>
      </w:pPr>
      <w:r w:rsidRPr="00EA60E3">
        <w:rPr>
          <w:color w:val="000000" w:themeColor="text1"/>
        </w:rPr>
        <w:t>Flue gas analysis to optimize exhaust system configuration and potential integration of a thermoelectric generator.</w:t>
      </w:r>
    </w:p>
    <w:p w14:paraId="77C0B860" w14:textId="77777777" w:rsidR="004E5D59" w:rsidRPr="00EA60E3" w:rsidRDefault="000625F9">
      <w:pPr>
        <w:pStyle w:val="ListParagraph"/>
        <w:numPr>
          <w:ilvl w:val="0"/>
          <w:numId w:val="2"/>
        </w:numPr>
        <w:spacing w:before="40" w:after="40"/>
        <w:rPr>
          <w:color w:val="000000" w:themeColor="text1"/>
        </w:rPr>
      </w:pPr>
      <w:r w:rsidRPr="00EA60E3">
        <w:rPr>
          <w:color w:val="000000" w:themeColor="text1"/>
        </w:rPr>
        <w:t>Active suspension systems utilizing magnetorheological fluids in dampers for adaptive, improved ride quality.</w:t>
      </w:r>
    </w:p>
    <w:p w14:paraId="376E3AC7" w14:textId="77777777" w:rsidR="004E5D59" w:rsidRPr="00EA60E3" w:rsidRDefault="000625F9">
      <w:pPr>
        <w:pStyle w:val="ListParagraph"/>
        <w:numPr>
          <w:ilvl w:val="0"/>
          <w:numId w:val="2"/>
        </w:numPr>
        <w:spacing w:before="40" w:after="40"/>
        <w:rPr>
          <w:color w:val="000000" w:themeColor="text1"/>
        </w:rPr>
      </w:pPr>
      <w:r w:rsidRPr="00EA60E3">
        <w:rPr>
          <w:color w:val="000000" w:themeColor="text1"/>
        </w:rPr>
        <w:t>Piezoelectric energy recovery from vehicle vibrations for auxiliary electrical systems.</w:t>
      </w:r>
    </w:p>
    <w:p w14:paraId="1AD1C088" w14:textId="77777777" w:rsidR="004E5D59" w:rsidRPr="00EA60E3" w:rsidRDefault="000625F9">
      <w:pPr>
        <w:pStyle w:val="ListParagraph"/>
        <w:numPr>
          <w:ilvl w:val="0"/>
          <w:numId w:val="2"/>
        </w:numPr>
        <w:spacing w:before="40" w:after="40"/>
        <w:rPr>
          <w:color w:val="000000" w:themeColor="text1"/>
        </w:rPr>
      </w:pPr>
      <w:r w:rsidRPr="00EA60E3">
        <w:rPr>
          <w:color w:val="000000" w:themeColor="text1"/>
        </w:rPr>
        <w:t>Regenerative braking and brake biasing strategies to maximize energy recuperation and extend operational range.</w:t>
      </w:r>
    </w:p>
    <w:p w14:paraId="7BD3EBE2" w14:textId="77777777" w:rsidR="004E5D59" w:rsidRPr="00EA60E3" w:rsidRDefault="000625F9">
      <w:pPr>
        <w:pStyle w:val="ListParagraph"/>
        <w:numPr>
          <w:ilvl w:val="0"/>
          <w:numId w:val="2"/>
        </w:numPr>
        <w:spacing w:before="40" w:after="40"/>
        <w:rPr>
          <w:color w:val="000000" w:themeColor="text1"/>
        </w:rPr>
      </w:pPr>
      <w:r w:rsidRPr="00EA60E3">
        <w:rPr>
          <w:color w:val="000000" w:themeColor="text1"/>
        </w:rPr>
        <w:t>Thermoelectric generator integration to utilize waste heat from exhaust gases for supplementary electricity generation.</w:t>
      </w:r>
    </w:p>
    <w:p w14:paraId="0C0D2C13" w14:textId="77777777" w:rsidR="004E5D59" w:rsidRPr="00EA60E3" w:rsidRDefault="004E5D59">
      <w:pPr>
        <w:spacing w:before="80" w:after="80"/>
        <w:rPr>
          <w:color w:val="000000" w:themeColor="text1"/>
        </w:rPr>
      </w:pPr>
    </w:p>
    <w:p w14:paraId="706088D3" w14:textId="77777777" w:rsidR="004E5D59" w:rsidRPr="00EA60E3" w:rsidRDefault="000625F9">
      <w:pPr>
        <w:pStyle w:val="Heading2"/>
        <w:rPr>
          <w:color w:val="000000" w:themeColor="text1"/>
        </w:rPr>
      </w:pPr>
      <w:r w:rsidRPr="00EA60E3">
        <w:rPr>
          <w:color w:val="000000" w:themeColor="text1"/>
        </w:rPr>
        <w:t>Outcomes and Impact</w:t>
      </w:r>
    </w:p>
    <w:p w14:paraId="426E0222" w14:textId="77777777" w:rsidR="004E5D59" w:rsidRPr="00EA60E3" w:rsidRDefault="000625F9">
      <w:pPr>
        <w:pStyle w:val="ListParagraph"/>
        <w:numPr>
          <w:ilvl w:val="0"/>
          <w:numId w:val="2"/>
        </w:numPr>
        <w:spacing w:before="40" w:after="40"/>
        <w:rPr>
          <w:color w:val="000000" w:themeColor="text1"/>
        </w:rPr>
      </w:pPr>
      <w:r w:rsidRPr="00EA60E3">
        <w:rPr>
          <w:color w:val="000000" w:themeColor="text1"/>
        </w:rPr>
        <w:t>Successful in-house chassis fabrication demonstrating advanced manufacturing capability within the team.</w:t>
      </w:r>
    </w:p>
    <w:p w14:paraId="1154B962" w14:textId="77777777" w:rsidR="004E5D59" w:rsidRPr="00EA60E3" w:rsidRDefault="000625F9">
      <w:pPr>
        <w:pStyle w:val="ListParagraph"/>
        <w:numPr>
          <w:ilvl w:val="0"/>
          <w:numId w:val="2"/>
        </w:numPr>
        <w:spacing w:before="40" w:after="40"/>
        <w:rPr>
          <w:color w:val="000000" w:themeColor="text1"/>
        </w:rPr>
      </w:pPr>
      <w:r w:rsidRPr="00EA60E3">
        <w:rPr>
          <w:color w:val="000000" w:themeColor="text1"/>
        </w:rPr>
        <w:t>Practical experience with industry-grade manufacturing processes through structured industry visits.</w:t>
      </w:r>
    </w:p>
    <w:p w14:paraId="7A588EB5" w14:textId="77777777" w:rsidR="004E5D59" w:rsidRPr="00EA60E3" w:rsidRDefault="000625F9">
      <w:pPr>
        <w:pStyle w:val="ListParagraph"/>
        <w:numPr>
          <w:ilvl w:val="0"/>
          <w:numId w:val="2"/>
        </w:numPr>
        <w:spacing w:before="40" w:after="40"/>
        <w:rPr>
          <w:color w:val="000000" w:themeColor="text1"/>
        </w:rPr>
      </w:pPr>
      <w:r w:rsidRPr="00EA60E3">
        <w:rPr>
          <w:color w:val="000000" w:themeColor="text1"/>
        </w:rPr>
        <w:t>Powertrain efficiency data gathered to inform final calibration and competition strategy.</w:t>
      </w:r>
    </w:p>
    <w:p w14:paraId="3267B91B" w14:textId="77777777" w:rsidR="004E5D59" w:rsidRPr="00EA60E3" w:rsidRDefault="000625F9">
      <w:pPr>
        <w:pStyle w:val="ListParagraph"/>
        <w:numPr>
          <w:ilvl w:val="0"/>
          <w:numId w:val="2"/>
        </w:numPr>
        <w:spacing w:before="40" w:after="40"/>
        <w:rPr>
          <w:color w:val="000000" w:themeColor="text1"/>
        </w:rPr>
      </w:pPr>
      <w:r w:rsidRPr="00EA60E3">
        <w:rPr>
          <w:color w:val="000000" w:themeColor="text1"/>
        </w:rPr>
        <w:t>Active R&amp;D in energy recovery and adaptive systems advancing the team's innovation roadmap.</w:t>
      </w:r>
    </w:p>
    <w:p w14:paraId="50350451" w14:textId="77777777" w:rsidR="004E5D59" w:rsidRPr="00EA60E3" w:rsidRDefault="004E5D59">
      <w:pPr>
        <w:spacing w:before="80" w:after="80"/>
        <w:rPr>
          <w:color w:val="000000" w:themeColor="text1"/>
        </w:rPr>
      </w:pPr>
    </w:p>
    <w:p w14:paraId="4615C3CB" w14:textId="4F51731F" w:rsidR="004E5D59" w:rsidRDefault="004E5D59">
      <w:pPr>
        <w:spacing w:before="60" w:after="100"/>
        <w:jc w:val="both"/>
        <w:rPr>
          <w:color w:val="000000" w:themeColor="text1"/>
        </w:rPr>
      </w:pPr>
    </w:p>
    <w:p w14:paraId="7FFFE329" w14:textId="293DDF60" w:rsidR="001E6DE7" w:rsidRDefault="001E6DE7">
      <w:pPr>
        <w:spacing w:before="60" w:after="100"/>
        <w:jc w:val="both"/>
        <w:rPr>
          <w:color w:val="000000" w:themeColor="text1"/>
        </w:rPr>
      </w:pPr>
      <w:r w:rsidRPr="001E6DE7">
        <w:rPr>
          <w:color w:val="000000" w:themeColor="text1"/>
        </w:rPr>
        <w:drawing>
          <wp:inline distT="0" distB="0" distL="0" distR="0" wp14:anchorId="45AF3800" wp14:editId="6E042579">
            <wp:extent cx="3477110" cy="2419688"/>
            <wp:effectExtent l="0" t="0" r="0" b="0"/>
            <wp:docPr id="788920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20420" name=""/>
                    <pic:cNvPicPr/>
                  </pic:nvPicPr>
                  <pic:blipFill>
                    <a:blip r:embed="rId5"/>
                    <a:stretch>
                      <a:fillRect/>
                    </a:stretch>
                  </pic:blipFill>
                  <pic:spPr>
                    <a:xfrm>
                      <a:off x="0" y="0"/>
                      <a:ext cx="3477110" cy="2419688"/>
                    </a:xfrm>
                    <a:prstGeom prst="rect">
                      <a:avLst/>
                    </a:prstGeom>
                  </pic:spPr>
                </pic:pic>
              </a:graphicData>
            </a:graphic>
          </wp:inline>
        </w:drawing>
      </w:r>
    </w:p>
    <w:p w14:paraId="149A38AE" w14:textId="77777777" w:rsidR="001E6DE7" w:rsidRDefault="001E6DE7">
      <w:pPr>
        <w:spacing w:before="60" w:after="100"/>
        <w:jc w:val="both"/>
        <w:rPr>
          <w:color w:val="000000" w:themeColor="text1"/>
        </w:rPr>
      </w:pPr>
    </w:p>
    <w:p w14:paraId="094BA068" w14:textId="59C199DF" w:rsidR="001E6DE7" w:rsidRDefault="001E6DE7">
      <w:pPr>
        <w:spacing w:before="60" w:after="100"/>
        <w:jc w:val="both"/>
        <w:rPr>
          <w:color w:val="000000" w:themeColor="text1"/>
        </w:rPr>
      </w:pPr>
      <w:r w:rsidRPr="001E6DE7">
        <w:rPr>
          <w:color w:val="000000" w:themeColor="text1"/>
        </w:rPr>
        <w:lastRenderedPageBreak/>
        <w:drawing>
          <wp:inline distT="0" distB="0" distL="0" distR="0" wp14:anchorId="7338EBFB" wp14:editId="69C1F291">
            <wp:extent cx="2829320" cy="2248214"/>
            <wp:effectExtent l="0" t="0" r="9525" b="0"/>
            <wp:docPr id="97454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4079" name=""/>
                    <pic:cNvPicPr/>
                  </pic:nvPicPr>
                  <pic:blipFill>
                    <a:blip r:embed="rId6"/>
                    <a:stretch>
                      <a:fillRect/>
                    </a:stretch>
                  </pic:blipFill>
                  <pic:spPr>
                    <a:xfrm>
                      <a:off x="0" y="0"/>
                      <a:ext cx="2829320" cy="2248214"/>
                    </a:xfrm>
                    <a:prstGeom prst="rect">
                      <a:avLst/>
                    </a:prstGeom>
                  </pic:spPr>
                </pic:pic>
              </a:graphicData>
            </a:graphic>
          </wp:inline>
        </w:drawing>
      </w:r>
    </w:p>
    <w:p w14:paraId="654D9DED" w14:textId="77777777" w:rsidR="001E6DE7" w:rsidRDefault="001E6DE7">
      <w:pPr>
        <w:spacing w:before="60" w:after="100"/>
        <w:jc w:val="both"/>
        <w:rPr>
          <w:color w:val="000000" w:themeColor="text1"/>
        </w:rPr>
      </w:pPr>
    </w:p>
    <w:p w14:paraId="25D0FB2F" w14:textId="7EA4BBB0" w:rsidR="001E6DE7" w:rsidRPr="00EA60E3" w:rsidRDefault="000E4017">
      <w:pPr>
        <w:spacing w:before="60" w:after="100"/>
        <w:jc w:val="both"/>
        <w:rPr>
          <w:color w:val="000000" w:themeColor="text1"/>
        </w:rPr>
      </w:pPr>
      <w:r w:rsidRPr="000E4017">
        <w:rPr>
          <w:color w:val="000000" w:themeColor="text1"/>
        </w:rPr>
        <w:drawing>
          <wp:inline distT="0" distB="0" distL="0" distR="0" wp14:anchorId="10C1470D" wp14:editId="61CF77CA">
            <wp:extent cx="2324424" cy="2467319"/>
            <wp:effectExtent l="0" t="0" r="0" b="9525"/>
            <wp:docPr id="1329477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77013" name=""/>
                    <pic:cNvPicPr/>
                  </pic:nvPicPr>
                  <pic:blipFill>
                    <a:blip r:embed="rId7"/>
                    <a:stretch>
                      <a:fillRect/>
                    </a:stretch>
                  </pic:blipFill>
                  <pic:spPr>
                    <a:xfrm>
                      <a:off x="0" y="0"/>
                      <a:ext cx="2324424" cy="2467319"/>
                    </a:xfrm>
                    <a:prstGeom prst="rect">
                      <a:avLst/>
                    </a:prstGeom>
                  </pic:spPr>
                </pic:pic>
              </a:graphicData>
            </a:graphic>
          </wp:inline>
        </w:drawing>
      </w:r>
    </w:p>
    <w:sectPr w:rsidR="001E6DE7" w:rsidRPr="00EA60E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3E91"/>
    <w:multiLevelType w:val="hybridMultilevel"/>
    <w:tmpl w:val="025E0AE4"/>
    <w:lvl w:ilvl="0" w:tplc="4166664A">
      <w:start w:val="1"/>
      <w:numFmt w:val="bullet"/>
      <w:lvlText w:val="●"/>
      <w:lvlJc w:val="left"/>
      <w:pPr>
        <w:ind w:left="720" w:hanging="360"/>
      </w:pPr>
    </w:lvl>
    <w:lvl w:ilvl="1" w:tplc="85AED37C">
      <w:start w:val="1"/>
      <w:numFmt w:val="bullet"/>
      <w:lvlText w:val="○"/>
      <w:lvlJc w:val="left"/>
      <w:pPr>
        <w:ind w:left="1440" w:hanging="360"/>
      </w:pPr>
    </w:lvl>
    <w:lvl w:ilvl="2" w:tplc="CE308BE2">
      <w:start w:val="1"/>
      <w:numFmt w:val="bullet"/>
      <w:lvlText w:val="■"/>
      <w:lvlJc w:val="left"/>
      <w:pPr>
        <w:ind w:left="2160" w:hanging="360"/>
      </w:pPr>
    </w:lvl>
    <w:lvl w:ilvl="3" w:tplc="E1CC105A">
      <w:start w:val="1"/>
      <w:numFmt w:val="bullet"/>
      <w:lvlText w:val="●"/>
      <w:lvlJc w:val="left"/>
      <w:pPr>
        <w:ind w:left="2880" w:hanging="360"/>
      </w:pPr>
    </w:lvl>
    <w:lvl w:ilvl="4" w:tplc="C39CC82E">
      <w:start w:val="1"/>
      <w:numFmt w:val="bullet"/>
      <w:lvlText w:val="○"/>
      <w:lvlJc w:val="left"/>
      <w:pPr>
        <w:ind w:left="3600" w:hanging="360"/>
      </w:pPr>
    </w:lvl>
    <w:lvl w:ilvl="5" w:tplc="208E3D3C">
      <w:start w:val="1"/>
      <w:numFmt w:val="bullet"/>
      <w:lvlText w:val="■"/>
      <w:lvlJc w:val="left"/>
      <w:pPr>
        <w:ind w:left="4320" w:hanging="360"/>
      </w:pPr>
    </w:lvl>
    <w:lvl w:ilvl="6" w:tplc="A4A60E7E">
      <w:start w:val="1"/>
      <w:numFmt w:val="bullet"/>
      <w:lvlText w:val="●"/>
      <w:lvlJc w:val="left"/>
      <w:pPr>
        <w:ind w:left="5040" w:hanging="360"/>
      </w:pPr>
    </w:lvl>
    <w:lvl w:ilvl="7" w:tplc="6CCEA506">
      <w:start w:val="1"/>
      <w:numFmt w:val="bullet"/>
      <w:lvlText w:val="●"/>
      <w:lvlJc w:val="left"/>
      <w:pPr>
        <w:ind w:left="5760" w:hanging="360"/>
      </w:pPr>
    </w:lvl>
    <w:lvl w:ilvl="8" w:tplc="8668E366">
      <w:start w:val="1"/>
      <w:numFmt w:val="bullet"/>
      <w:lvlText w:val="●"/>
      <w:lvlJc w:val="left"/>
      <w:pPr>
        <w:ind w:left="6480" w:hanging="360"/>
      </w:pPr>
    </w:lvl>
  </w:abstractNum>
  <w:abstractNum w:abstractNumId="1" w15:restartNumberingAfterBreak="0">
    <w:nsid w:val="46172784"/>
    <w:multiLevelType w:val="hybridMultilevel"/>
    <w:tmpl w:val="4BA67068"/>
    <w:lvl w:ilvl="0" w:tplc="DC9E144E">
      <w:start w:val="1"/>
      <w:numFmt w:val="decimal"/>
      <w:lvlText w:val="%1."/>
      <w:lvlJc w:val="left"/>
      <w:pPr>
        <w:ind w:left="720" w:hanging="360"/>
      </w:pPr>
    </w:lvl>
    <w:lvl w:ilvl="1" w:tplc="70B64E16">
      <w:numFmt w:val="decimal"/>
      <w:lvlText w:val=""/>
      <w:lvlJc w:val="left"/>
    </w:lvl>
    <w:lvl w:ilvl="2" w:tplc="39C22BB2">
      <w:numFmt w:val="decimal"/>
      <w:lvlText w:val=""/>
      <w:lvlJc w:val="left"/>
    </w:lvl>
    <w:lvl w:ilvl="3" w:tplc="A10E3E00">
      <w:numFmt w:val="decimal"/>
      <w:lvlText w:val=""/>
      <w:lvlJc w:val="left"/>
    </w:lvl>
    <w:lvl w:ilvl="4" w:tplc="F12227CA">
      <w:numFmt w:val="decimal"/>
      <w:lvlText w:val=""/>
      <w:lvlJc w:val="left"/>
    </w:lvl>
    <w:lvl w:ilvl="5" w:tplc="E6E0A906">
      <w:numFmt w:val="decimal"/>
      <w:lvlText w:val=""/>
      <w:lvlJc w:val="left"/>
    </w:lvl>
    <w:lvl w:ilvl="6" w:tplc="C0F4C12A">
      <w:numFmt w:val="decimal"/>
      <w:lvlText w:val=""/>
      <w:lvlJc w:val="left"/>
    </w:lvl>
    <w:lvl w:ilvl="7" w:tplc="E6387F00">
      <w:numFmt w:val="decimal"/>
      <w:lvlText w:val=""/>
      <w:lvlJc w:val="left"/>
    </w:lvl>
    <w:lvl w:ilvl="8" w:tplc="B5FC0EC0">
      <w:numFmt w:val="decimal"/>
      <w:lvlText w:val=""/>
      <w:lvlJc w:val="left"/>
    </w:lvl>
  </w:abstractNum>
  <w:abstractNum w:abstractNumId="2" w15:restartNumberingAfterBreak="0">
    <w:nsid w:val="6DA94121"/>
    <w:multiLevelType w:val="hybridMultilevel"/>
    <w:tmpl w:val="7EC4C52A"/>
    <w:lvl w:ilvl="0" w:tplc="7D3A7DFC">
      <w:start w:val="1"/>
      <w:numFmt w:val="bullet"/>
      <w:lvlText w:val="•"/>
      <w:lvlJc w:val="left"/>
      <w:pPr>
        <w:ind w:left="720" w:hanging="360"/>
      </w:pPr>
    </w:lvl>
    <w:lvl w:ilvl="1" w:tplc="D14A9AD2">
      <w:numFmt w:val="decimal"/>
      <w:lvlText w:val=""/>
      <w:lvlJc w:val="left"/>
    </w:lvl>
    <w:lvl w:ilvl="2" w:tplc="0AEEB2D4">
      <w:numFmt w:val="decimal"/>
      <w:lvlText w:val=""/>
      <w:lvlJc w:val="left"/>
    </w:lvl>
    <w:lvl w:ilvl="3" w:tplc="0EE60968">
      <w:numFmt w:val="decimal"/>
      <w:lvlText w:val=""/>
      <w:lvlJc w:val="left"/>
    </w:lvl>
    <w:lvl w:ilvl="4" w:tplc="160AD526">
      <w:numFmt w:val="decimal"/>
      <w:lvlText w:val=""/>
      <w:lvlJc w:val="left"/>
    </w:lvl>
    <w:lvl w:ilvl="5" w:tplc="B8762818">
      <w:numFmt w:val="decimal"/>
      <w:lvlText w:val=""/>
      <w:lvlJc w:val="left"/>
    </w:lvl>
    <w:lvl w:ilvl="6" w:tplc="67627866">
      <w:numFmt w:val="decimal"/>
      <w:lvlText w:val=""/>
      <w:lvlJc w:val="left"/>
    </w:lvl>
    <w:lvl w:ilvl="7" w:tplc="591C1B04">
      <w:numFmt w:val="decimal"/>
      <w:lvlText w:val=""/>
      <w:lvlJc w:val="left"/>
    </w:lvl>
    <w:lvl w:ilvl="8" w:tplc="D08AB8F0">
      <w:numFmt w:val="decimal"/>
      <w:lvlText w:val=""/>
      <w:lvlJc w:val="left"/>
    </w:lvl>
  </w:abstractNum>
  <w:num w:numId="1" w16cid:durableId="1048336293">
    <w:abstractNumId w:val="0"/>
    <w:lvlOverride w:ilvl="0">
      <w:startOverride w:val="1"/>
    </w:lvlOverride>
  </w:num>
  <w:num w:numId="2" w16cid:durableId="15608211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59"/>
    <w:rsid w:val="000625F9"/>
    <w:rsid w:val="000E4017"/>
    <w:rsid w:val="000F515A"/>
    <w:rsid w:val="00144732"/>
    <w:rsid w:val="001E6DE7"/>
    <w:rsid w:val="004E5D59"/>
    <w:rsid w:val="00DD34CD"/>
    <w:rsid w:val="00EA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D46F"/>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unhideWhenUsed/>
    <w:qFormat/>
    <w:pPr>
      <w:spacing w:before="200" w:after="10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pPr>
      <w:ind w:left="720"/>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tsakshi2615@gmail.com</cp:lastModifiedBy>
  <cp:revision>2</cp:revision>
  <dcterms:created xsi:type="dcterms:W3CDTF">2026-03-27T08:10:00Z</dcterms:created>
  <dcterms:modified xsi:type="dcterms:W3CDTF">2026-03-27T08:10:00Z</dcterms:modified>
</cp:coreProperties>
</file>