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5537" w14:textId="77777777" w:rsidR="00954054" w:rsidRPr="002D4554" w:rsidRDefault="0017737F" w:rsidP="002D4554">
      <w:pPr>
        <w:pStyle w:val="Heading1"/>
        <w:jc w:val="center"/>
        <w:rPr>
          <w:color w:val="000000" w:themeColor="text1"/>
          <w:u w:val="single"/>
        </w:rPr>
      </w:pPr>
      <w:r w:rsidRPr="002D4554">
        <w:rPr>
          <w:color w:val="000000" w:themeColor="text1"/>
          <w:u w:val="single"/>
        </w:rPr>
        <w:t>TEAM VELOCIRACERS</w:t>
      </w:r>
    </w:p>
    <w:p w14:paraId="15647DF4" w14:textId="77777777" w:rsidR="00954054" w:rsidRPr="002D4554" w:rsidRDefault="0017737F">
      <w:pPr>
        <w:pStyle w:val="Heading2"/>
        <w:rPr>
          <w:color w:val="000000" w:themeColor="text1"/>
        </w:rPr>
      </w:pPr>
      <w:r w:rsidRPr="002D4554">
        <w:rPr>
          <w:color w:val="000000" w:themeColor="text1"/>
        </w:rPr>
        <w:t>About the Team</w:t>
      </w:r>
    </w:p>
    <w:p w14:paraId="4B40C65E" w14:textId="77777777" w:rsidR="00954054" w:rsidRPr="002D4554" w:rsidRDefault="0017737F">
      <w:pPr>
        <w:spacing w:before="60" w:after="100"/>
        <w:jc w:val="both"/>
        <w:rPr>
          <w:color w:val="000000" w:themeColor="text1"/>
        </w:rPr>
      </w:pPr>
      <w:r w:rsidRPr="002D4554">
        <w:rPr>
          <w:color w:val="000000" w:themeColor="text1"/>
        </w:rPr>
        <w:t xml:space="preserve">Team </w:t>
      </w:r>
      <w:proofErr w:type="spellStart"/>
      <w:r w:rsidRPr="002D4554">
        <w:rPr>
          <w:color w:val="000000" w:themeColor="text1"/>
        </w:rPr>
        <w:t>Velociracers</w:t>
      </w:r>
      <w:proofErr w:type="spellEnd"/>
      <w:r w:rsidRPr="002D4554">
        <w:rPr>
          <w:color w:val="000000" w:themeColor="text1"/>
        </w:rPr>
        <w:t xml:space="preserve"> is the competitive automotive engineering club of COEP Technological University, dedicated to designing, building, and racing innovative vehicles. The team provides members with multidisciplinary engineering exposure spanning mechanical, electrical, electronics, and software domains through participation in nationally recognized competitions.</w:t>
      </w:r>
    </w:p>
    <w:p w14:paraId="0F06DDFE" w14:textId="77777777" w:rsidR="00954054" w:rsidRPr="002D4554" w:rsidRDefault="00954054">
      <w:pPr>
        <w:spacing w:before="80" w:after="80"/>
        <w:rPr>
          <w:color w:val="000000" w:themeColor="text1"/>
        </w:rPr>
      </w:pPr>
    </w:p>
    <w:p w14:paraId="5244398A" w14:textId="77777777" w:rsidR="00954054" w:rsidRPr="002D4554" w:rsidRDefault="0017737F">
      <w:pPr>
        <w:pStyle w:val="Heading2"/>
        <w:rPr>
          <w:color w:val="000000" w:themeColor="text1"/>
        </w:rPr>
      </w:pPr>
      <w:r w:rsidRPr="002D4554">
        <w:rPr>
          <w:color w:val="000000" w:themeColor="text1"/>
        </w:rPr>
        <w:t>Overview</w:t>
      </w:r>
    </w:p>
    <w:p w14:paraId="1E605540" w14:textId="77777777" w:rsidR="00954054" w:rsidRPr="002D4554" w:rsidRDefault="0017737F">
      <w:pPr>
        <w:spacing w:before="60" w:after="100"/>
        <w:jc w:val="both"/>
        <w:rPr>
          <w:color w:val="000000" w:themeColor="text1"/>
        </w:rPr>
      </w:pPr>
      <w:r w:rsidRPr="002D4554">
        <w:rPr>
          <w:color w:val="000000" w:themeColor="text1"/>
        </w:rPr>
        <w:t xml:space="preserve">Academic year 2023-24 marked a strategic transition for Team </w:t>
      </w:r>
      <w:proofErr w:type="spellStart"/>
      <w:r w:rsidRPr="002D4554">
        <w:rPr>
          <w:color w:val="000000" w:themeColor="text1"/>
        </w:rPr>
        <w:t>Velociracers</w:t>
      </w:r>
      <w:proofErr w:type="spellEnd"/>
      <w:r w:rsidRPr="002D4554">
        <w:rPr>
          <w:color w:val="000000" w:themeColor="text1"/>
        </w:rPr>
        <w:t xml:space="preserve"> — the team switched to the SAE REEV (Range Extended Electric Vehicle) Competition, a nationally recognized hybrid vehicle challenge organized by SAE India. This decision aligned with the team's growing interest in sustainable automotive technologies and multidisciplinary engineering. The year's primary objective was to prepare a technically rigorous submission for the Virtual Round held in October 2024, covering complete vehicle design and analysis across all subsystems.</w:t>
      </w:r>
    </w:p>
    <w:p w14:paraId="70B3443A" w14:textId="77777777" w:rsidR="00954054" w:rsidRPr="002D4554" w:rsidRDefault="00954054">
      <w:pPr>
        <w:spacing w:before="80" w:after="80"/>
        <w:rPr>
          <w:color w:val="000000" w:themeColor="text1"/>
        </w:rPr>
      </w:pPr>
    </w:p>
    <w:p w14:paraId="284D45F4" w14:textId="77777777" w:rsidR="00954054" w:rsidRPr="002D4554" w:rsidRDefault="0017737F">
      <w:pPr>
        <w:pStyle w:val="Heading2"/>
        <w:rPr>
          <w:color w:val="000000" w:themeColor="text1"/>
        </w:rPr>
      </w:pPr>
      <w:r w:rsidRPr="002D4554">
        <w:rPr>
          <w:color w:val="000000" w:themeColor="text1"/>
        </w:rPr>
        <w:t>Vehicle Concept</w:t>
      </w:r>
    </w:p>
    <w:p w14:paraId="3781763C" w14:textId="77777777" w:rsidR="00954054" w:rsidRPr="002D4554" w:rsidRDefault="0017737F">
      <w:pPr>
        <w:spacing w:before="60" w:after="100"/>
        <w:jc w:val="both"/>
        <w:rPr>
          <w:color w:val="000000" w:themeColor="text1"/>
        </w:rPr>
      </w:pPr>
      <w:r w:rsidRPr="002D4554">
        <w:rPr>
          <w:color w:val="000000" w:themeColor="text1"/>
        </w:rPr>
        <w:t>The vehicle was designed around a series hybrid architecture, wherein an electric motor serves as the sole source of wheel propulsion while a small internal combustion engine operates exclusively as an on-board generator to recharge the battery and extend operational range. This configuration decouples the engine from the drivetrain entirely, simplifying energy management and allowing the powertrain to be optimized independently. The design targets urban mobility use cases, balancing compactness, efficiency</w:t>
      </w:r>
      <w:r w:rsidRPr="002D4554">
        <w:rPr>
          <w:color w:val="000000" w:themeColor="text1"/>
        </w:rPr>
        <w:t>, driver ergonomics, and competitive performance.</w:t>
      </w:r>
    </w:p>
    <w:p w14:paraId="7CA1B868" w14:textId="77777777" w:rsidR="00954054" w:rsidRPr="002D4554" w:rsidRDefault="00954054">
      <w:pPr>
        <w:spacing w:before="80" w:after="80"/>
        <w:rPr>
          <w:color w:val="000000" w:themeColor="text1"/>
        </w:rPr>
      </w:pPr>
    </w:p>
    <w:p w14:paraId="632C5B1A" w14:textId="77777777" w:rsidR="00954054" w:rsidRPr="002D4554" w:rsidRDefault="0017737F">
      <w:pPr>
        <w:pStyle w:val="Heading2"/>
        <w:rPr>
          <w:color w:val="000000" w:themeColor="text1"/>
        </w:rPr>
      </w:pPr>
      <w:r w:rsidRPr="002D4554">
        <w:rPr>
          <w:color w:val="000000" w:themeColor="text1"/>
        </w:rPr>
        <w:t>Technical Development</w:t>
      </w:r>
    </w:p>
    <w:p w14:paraId="37AFCEE2" w14:textId="77777777" w:rsidR="00954054" w:rsidRPr="002D4554" w:rsidRDefault="0017737F">
      <w:pPr>
        <w:spacing w:before="60" w:after="100"/>
        <w:jc w:val="both"/>
        <w:rPr>
          <w:color w:val="000000" w:themeColor="text1"/>
        </w:rPr>
      </w:pPr>
      <w:r w:rsidRPr="002D4554">
        <w:rPr>
          <w:color w:val="000000" w:themeColor="text1"/>
        </w:rPr>
        <w:t>The team undertook comprehensive engineering work spanning all major vehicle subsystems, supported by analytical calculations, FEA simulations in Ansys, and MATLAB-based energy modelling.</w:t>
      </w:r>
    </w:p>
    <w:p w14:paraId="6EA09727" w14:textId="77777777" w:rsidR="00954054" w:rsidRPr="002D4554" w:rsidRDefault="00954054">
      <w:pPr>
        <w:spacing w:before="40" w:after="40"/>
        <w:rPr>
          <w:color w:val="000000" w:themeColor="text1"/>
        </w:rPr>
      </w:pPr>
    </w:p>
    <w:p w14:paraId="21D3B851" w14:textId="77777777" w:rsidR="00954054" w:rsidRPr="002D4554" w:rsidRDefault="0017737F">
      <w:pPr>
        <w:spacing w:before="60" w:after="100"/>
        <w:jc w:val="both"/>
        <w:rPr>
          <w:color w:val="000000" w:themeColor="text1"/>
        </w:rPr>
      </w:pPr>
      <w:r w:rsidRPr="002D4554">
        <w:rPr>
          <w:b/>
          <w:bCs/>
          <w:color w:val="000000" w:themeColor="text1"/>
        </w:rPr>
        <w:t>1. Chassis and Roll Cage</w:t>
      </w:r>
    </w:p>
    <w:p w14:paraId="5252CCB9" w14:textId="77777777" w:rsidR="00954054" w:rsidRPr="002D4554" w:rsidRDefault="0017737F">
      <w:pPr>
        <w:spacing w:before="60" w:after="100"/>
        <w:jc w:val="both"/>
        <w:rPr>
          <w:color w:val="000000" w:themeColor="text1"/>
        </w:rPr>
      </w:pPr>
      <w:r w:rsidRPr="002D4554">
        <w:rPr>
          <w:color w:val="000000" w:themeColor="text1"/>
        </w:rPr>
        <w:t xml:space="preserve">Designed using high-strength steel in compliance with the SAE rulebook. Multiple impact scenarios — frontal, side, rollover, and offset — were simulated to validate structural integrity. The base floor was developed as a composite sandwich structure combining glass </w:t>
      </w:r>
      <w:proofErr w:type="spellStart"/>
      <w:r w:rsidRPr="002D4554">
        <w:rPr>
          <w:color w:val="000000" w:themeColor="text1"/>
        </w:rPr>
        <w:t>fibre</w:t>
      </w:r>
      <w:proofErr w:type="spellEnd"/>
      <w:r w:rsidRPr="002D4554">
        <w:rPr>
          <w:color w:val="000000" w:themeColor="text1"/>
        </w:rPr>
        <w:t xml:space="preserve"> and PVC foam. A physical prototype was constructed using PVC pipes to validate spatial packaging and ergonomic fit before steel fabrication.</w:t>
      </w:r>
    </w:p>
    <w:p w14:paraId="4D84B21E" w14:textId="77777777" w:rsidR="00954054" w:rsidRPr="002D4554" w:rsidRDefault="0017737F">
      <w:pPr>
        <w:spacing w:before="60" w:after="100"/>
        <w:jc w:val="both"/>
        <w:rPr>
          <w:color w:val="000000" w:themeColor="text1"/>
        </w:rPr>
      </w:pPr>
      <w:r w:rsidRPr="002D4554">
        <w:rPr>
          <w:b/>
          <w:bCs/>
          <w:color w:val="000000" w:themeColor="text1"/>
        </w:rPr>
        <w:t>2. Suspension</w:t>
      </w:r>
    </w:p>
    <w:p w14:paraId="76B20BBA" w14:textId="77777777" w:rsidR="00954054" w:rsidRPr="002D4554" w:rsidRDefault="0017737F">
      <w:pPr>
        <w:spacing w:before="60" w:after="100"/>
        <w:jc w:val="both"/>
        <w:rPr>
          <w:color w:val="000000" w:themeColor="text1"/>
        </w:rPr>
      </w:pPr>
      <w:r w:rsidRPr="002D4554">
        <w:rPr>
          <w:color w:val="000000" w:themeColor="text1"/>
        </w:rPr>
        <w:t>A double wishbone independent suspension system was selected for all four corners for precise wheel control and negative camber generation during cornering. Suspension geometry was iteratively optimized, and all control arm and knuckle components were validated through FEA.</w:t>
      </w:r>
    </w:p>
    <w:p w14:paraId="2778CED1" w14:textId="77777777" w:rsidR="00954054" w:rsidRPr="002D4554" w:rsidRDefault="0017737F">
      <w:pPr>
        <w:spacing w:before="60" w:after="100"/>
        <w:jc w:val="both"/>
        <w:rPr>
          <w:color w:val="000000" w:themeColor="text1"/>
        </w:rPr>
      </w:pPr>
      <w:r w:rsidRPr="002D4554">
        <w:rPr>
          <w:b/>
          <w:bCs/>
          <w:color w:val="000000" w:themeColor="text1"/>
        </w:rPr>
        <w:t>3. Steering</w:t>
      </w:r>
    </w:p>
    <w:p w14:paraId="60A2DF25" w14:textId="77777777" w:rsidR="00954054" w:rsidRPr="002D4554" w:rsidRDefault="0017737F">
      <w:pPr>
        <w:spacing w:before="60" w:after="100"/>
        <w:jc w:val="both"/>
        <w:rPr>
          <w:color w:val="000000" w:themeColor="text1"/>
        </w:rPr>
      </w:pPr>
      <w:r w:rsidRPr="002D4554">
        <w:rPr>
          <w:color w:val="000000" w:themeColor="text1"/>
        </w:rPr>
        <w:lastRenderedPageBreak/>
        <w:t>A rack and pinion mechanism with anti-Ackermann geometry was designed and modelled in Fusion 360 and CREO. Multiple iterations finalized the desired turning radius and steering response, with structural analysis confirming strength under worst-case loads.</w:t>
      </w:r>
    </w:p>
    <w:p w14:paraId="6357899F" w14:textId="77777777" w:rsidR="00954054" w:rsidRPr="002D4554" w:rsidRDefault="0017737F">
      <w:pPr>
        <w:spacing w:before="60" w:after="100"/>
        <w:jc w:val="both"/>
        <w:rPr>
          <w:color w:val="000000" w:themeColor="text1"/>
        </w:rPr>
      </w:pPr>
      <w:r w:rsidRPr="002D4554">
        <w:rPr>
          <w:b/>
          <w:bCs/>
          <w:color w:val="000000" w:themeColor="text1"/>
        </w:rPr>
        <w:t>4. Braking</w:t>
      </w:r>
    </w:p>
    <w:p w14:paraId="30478A48" w14:textId="77777777" w:rsidR="00954054" w:rsidRPr="002D4554" w:rsidRDefault="0017737F">
      <w:pPr>
        <w:spacing w:before="60" w:after="100"/>
        <w:jc w:val="both"/>
        <w:rPr>
          <w:color w:val="000000" w:themeColor="text1"/>
        </w:rPr>
      </w:pPr>
      <w:r w:rsidRPr="002D4554">
        <w:rPr>
          <w:color w:val="000000" w:themeColor="text1"/>
        </w:rPr>
        <w:t xml:space="preserve">A dual-circuit diagonal hydraulic braking system was developed to maintain braking capability upon single circuit failure. The system was sized for full </w:t>
      </w:r>
      <w:proofErr w:type="spellStart"/>
      <w:r w:rsidRPr="002D4554">
        <w:rPr>
          <w:color w:val="000000" w:themeColor="text1"/>
        </w:rPr>
        <w:t>tyre</w:t>
      </w:r>
      <w:proofErr w:type="spellEnd"/>
      <w:r w:rsidRPr="002D4554">
        <w:rPr>
          <w:color w:val="000000" w:themeColor="text1"/>
        </w:rPr>
        <w:t xml:space="preserve"> lock under maximum speed conditions, with all parameters analytically verified.</w:t>
      </w:r>
    </w:p>
    <w:p w14:paraId="4390A6C0" w14:textId="77777777" w:rsidR="00954054" w:rsidRPr="002D4554" w:rsidRDefault="0017737F">
      <w:pPr>
        <w:spacing w:before="60" w:after="100"/>
        <w:jc w:val="both"/>
        <w:rPr>
          <w:color w:val="000000" w:themeColor="text1"/>
        </w:rPr>
      </w:pPr>
      <w:r w:rsidRPr="002D4554">
        <w:rPr>
          <w:b/>
          <w:bCs/>
          <w:color w:val="000000" w:themeColor="text1"/>
        </w:rPr>
        <w:t>5. Powertrain and Energy</w:t>
      </w:r>
    </w:p>
    <w:p w14:paraId="1F59EF3D" w14:textId="77777777" w:rsidR="00954054" w:rsidRPr="002D4554" w:rsidRDefault="0017737F">
      <w:pPr>
        <w:spacing w:before="60" w:after="100"/>
        <w:jc w:val="both"/>
        <w:rPr>
          <w:color w:val="000000" w:themeColor="text1"/>
        </w:rPr>
      </w:pPr>
      <w:r w:rsidRPr="002D4554">
        <w:rPr>
          <w:color w:val="000000" w:themeColor="text1"/>
        </w:rPr>
        <w:t xml:space="preserve">A PMDC motor was selected as the primary drive unit, paired with a synchronous belt drive and bevel gear differential. Battery range was modelled using a custom drive cycle in MATLAB, and a well-to-wheel energy analysis was conducted. Regenerative braking was </w:t>
      </w:r>
      <w:proofErr w:type="spellStart"/>
      <w:r w:rsidRPr="002D4554">
        <w:rPr>
          <w:color w:val="000000" w:themeColor="text1"/>
        </w:rPr>
        <w:t>analysed</w:t>
      </w:r>
      <w:proofErr w:type="spellEnd"/>
      <w:r w:rsidRPr="002D4554">
        <w:rPr>
          <w:color w:val="000000" w:themeColor="text1"/>
        </w:rPr>
        <w:t xml:space="preserve"> across multiple deceleration scenarios.</w:t>
      </w:r>
    </w:p>
    <w:p w14:paraId="583BC8AE" w14:textId="77777777" w:rsidR="00954054" w:rsidRPr="002D4554" w:rsidRDefault="0017737F">
      <w:pPr>
        <w:spacing w:before="60" w:after="100"/>
        <w:jc w:val="both"/>
        <w:rPr>
          <w:color w:val="000000" w:themeColor="text1"/>
        </w:rPr>
      </w:pPr>
      <w:r w:rsidRPr="002D4554">
        <w:rPr>
          <w:b/>
          <w:bCs/>
          <w:color w:val="000000" w:themeColor="text1"/>
        </w:rPr>
        <w:t>6. Electrical and Controls</w:t>
      </w:r>
    </w:p>
    <w:p w14:paraId="088EAD08" w14:textId="77777777" w:rsidR="00954054" w:rsidRPr="002D4554" w:rsidRDefault="0017737F">
      <w:pPr>
        <w:spacing w:before="60" w:after="100"/>
        <w:jc w:val="both"/>
        <w:rPr>
          <w:color w:val="000000" w:themeColor="text1"/>
        </w:rPr>
      </w:pPr>
      <w:r w:rsidRPr="002D4554">
        <w:rPr>
          <w:color w:val="000000" w:themeColor="text1"/>
        </w:rPr>
        <w:t>A Vehicle Control Unit was designed as the central node of the electrical architecture, managing motor control, BMS communication, regenerative braking logic, and safety interlocks. A CAN bus network was selected as the primary communication backbone.</w:t>
      </w:r>
    </w:p>
    <w:p w14:paraId="6490BC02" w14:textId="77777777" w:rsidR="00954054" w:rsidRPr="002D4554" w:rsidRDefault="00954054">
      <w:pPr>
        <w:spacing w:before="80" w:after="80"/>
        <w:rPr>
          <w:color w:val="000000" w:themeColor="text1"/>
        </w:rPr>
      </w:pPr>
    </w:p>
    <w:p w14:paraId="1F898A18" w14:textId="77777777" w:rsidR="00954054" w:rsidRPr="002D4554" w:rsidRDefault="0017737F">
      <w:pPr>
        <w:pStyle w:val="Heading2"/>
        <w:rPr>
          <w:color w:val="000000" w:themeColor="text1"/>
        </w:rPr>
      </w:pPr>
      <w:r w:rsidRPr="002D4554">
        <w:rPr>
          <w:color w:val="000000" w:themeColor="text1"/>
        </w:rPr>
        <w:t>Innovation Targets</w:t>
      </w:r>
    </w:p>
    <w:p w14:paraId="7A838DBC" w14:textId="77777777" w:rsidR="00954054" w:rsidRPr="002D4554" w:rsidRDefault="0017737F">
      <w:pPr>
        <w:pStyle w:val="ListParagraph"/>
        <w:numPr>
          <w:ilvl w:val="0"/>
          <w:numId w:val="2"/>
        </w:numPr>
        <w:spacing w:before="40" w:after="40"/>
        <w:rPr>
          <w:color w:val="000000" w:themeColor="text1"/>
        </w:rPr>
      </w:pPr>
      <w:r w:rsidRPr="002D4554">
        <w:rPr>
          <w:color w:val="000000" w:themeColor="text1"/>
        </w:rPr>
        <w:t>Helmet Detection System: An ultrasonic sensor-based interlock preventing vehicle start without driver helmet detection, with mobile app alerts.</w:t>
      </w:r>
    </w:p>
    <w:p w14:paraId="23E16F64" w14:textId="77777777" w:rsidR="00954054" w:rsidRPr="002D4554" w:rsidRDefault="0017737F">
      <w:pPr>
        <w:pStyle w:val="ListParagraph"/>
        <w:numPr>
          <w:ilvl w:val="0"/>
          <w:numId w:val="2"/>
        </w:numPr>
        <w:spacing w:before="40" w:after="40"/>
        <w:rPr>
          <w:color w:val="000000" w:themeColor="text1"/>
        </w:rPr>
      </w:pPr>
      <w:r w:rsidRPr="002D4554">
        <w:rPr>
          <w:color w:val="000000" w:themeColor="text1"/>
        </w:rPr>
        <w:t>Vehicle-to-Vehicle Communication: A Wi-Fi and GPS-based V2V system for real-time exchange of speed, position, and trajectory data between nearby vehicles.</w:t>
      </w:r>
    </w:p>
    <w:p w14:paraId="1A7B202E" w14:textId="77777777" w:rsidR="00954054" w:rsidRPr="002D4554" w:rsidRDefault="0017737F">
      <w:pPr>
        <w:pStyle w:val="ListParagraph"/>
        <w:numPr>
          <w:ilvl w:val="0"/>
          <w:numId w:val="2"/>
        </w:numPr>
        <w:spacing w:before="40" w:after="40"/>
        <w:rPr>
          <w:color w:val="000000" w:themeColor="text1"/>
        </w:rPr>
      </w:pPr>
      <w:r w:rsidRPr="002D4554">
        <w:rPr>
          <w:color w:val="000000" w:themeColor="text1"/>
        </w:rPr>
        <w:t>Advanced energy recovery features including flue gas thermoelectric generation, piezoelectric vibration energy harvesting, and active magnetorheological suspension — identified as longer-term research directions.</w:t>
      </w:r>
    </w:p>
    <w:p w14:paraId="008E37D1" w14:textId="77777777" w:rsidR="00954054" w:rsidRPr="002D4554" w:rsidRDefault="00954054">
      <w:pPr>
        <w:spacing w:before="80" w:after="80"/>
        <w:rPr>
          <w:color w:val="000000" w:themeColor="text1"/>
        </w:rPr>
      </w:pPr>
    </w:p>
    <w:p w14:paraId="796A091B" w14:textId="6C7F076A" w:rsidR="00954054" w:rsidRDefault="00577C1A">
      <w:pPr>
        <w:spacing w:before="60" w:after="100"/>
        <w:jc w:val="both"/>
        <w:rPr>
          <w:color w:val="000000" w:themeColor="text1"/>
        </w:rPr>
      </w:pPr>
      <w:r w:rsidRPr="00577C1A">
        <w:rPr>
          <w:color w:val="000000" w:themeColor="text1"/>
        </w:rPr>
        <w:drawing>
          <wp:inline distT="0" distB="0" distL="0" distR="0" wp14:anchorId="604C5F3F" wp14:editId="41194013">
            <wp:extent cx="5731510" cy="2206625"/>
            <wp:effectExtent l="0" t="0" r="2540" b="3175"/>
            <wp:docPr id="3687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8368" name=""/>
                    <pic:cNvPicPr/>
                  </pic:nvPicPr>
                  <pic:blipFill>
                    <a:blip r:embed="rId5"/>
                    <a:stretch>
                      <a:fillRect/>
                    </a:stretch>
                  </pic:blipFill>
                  <pic:spPr>
                    <a:xfrm>
                      <a:off x="0" y="0"/>
                      <a:ext cx="5731510" cy="2206625"/>
                    </a:xfrm>
                    <a:prstGeom prst="rect">
                      <a:avLst/>
                    </a:prstGeom>
                  </pic:spPr>
                </pic:pic>
              </a:graphicData>
            </a:graphic>
          </wp:inline>
        </w:drawing>
      </w:r>
    </w:p>
    <w:p w14:paraId="43AA2839" w14:textId="77777777" w:rsidR="00577C1A" w:rsidRDefault="00577C1A">
      <w:pPr>
        <w:spacing w:before="60" w:after="100"/>
        <w:jc w:val="both"/>
        <w:rPr>
          <w:color w:val="000000" w:themeColor="text1"/>
        </w:rPr>
      </w:pPr>
    </w:p>
    <w:p w14:paraId="38142628" w14:textId="36472214" w:rsidR="00577C1A" w:rsidRPr="002D4554" w:rsidRDefault="000A53C0">
      <w:pPr>
        <w:spacing w:before="60" w:after="100"/>
        <w:jc w:val="both"/>
        <w:rPr>
          <w:color w:val="000000" w:themeColor="text1"/>
        </w:rPr>
      </w:pPr>
      <w:r w:rsidRPr="000A53C0">
        <w:rPr>
          <w:color w:val="000000" w:themeColor="text1"/>
        </w:rPr>
        <w:lastRenderedPageBreak/>
        <w:drawing>
          <wp:inline distT="0" distB="0" distL="0" distR="0" wp14:anchorId="61F31DAC" wp14:editId="4674B9E5">
            <wp:extent cx="4373880" cy="4125364"/>
            <wp:effectExtent l="0" t="0" r="7620" b="8890"/>
            <wp:docPr id="1185394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94381" name=""/>
                    <pic:cNvPicPr/>
                  </pic:nvPicPr>
                  <pic:blipFill>
                    <a:blip r:embed="rId6"/>
                    <a:stretch>
                      <a:fillRect/>
                    </a:stretch>
                  </pic:blipFill>
                  <pic:spPr>
                    <a:xfrm>
                      <a:off x="0" y="0"/>
                      <a:ext cx="4376690" cy="4128014"/>
                    </a:xfrm>
                    <a:prstGeom prst="rect">
                      <a:avLst/>
                    </a:prstGeom>
                  </pic:spPr>
                </pic:pic>
              </a:graphicData>
            </a:graphic>
          </wp:inline>
        </w:drawing>
      </w:r>
    </w:p>
    <w:sectPr w:rsidR="00577C1A" w:rsidRPr="002D455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297C"/>
    <w:multiLevelType w:val="hybridMultilevel"/>
    <w:tmpl w:val="7A38314C"/>
    <w:lvl w:ilvl="0" w:tplc="B8B6A66A">
      <w:start w:val="1"/>
      <w:numFmt w:val="bullet"/>
      <w:lvlText w:val="•"/>
      <w:lvlJc w:val="left"/>
      <w:pPr>
        <w:ind w:left="720" w:hanging="360"/>
      </w:pPr>
    </w:lvl>
    <w:lvl w:ilvl="1" w:tplc="A732BC54">
      <w:numFmt w:val="decimal"/>
      <w:lvlText w:val=""/>
      <w:lvlJc w:val="left"/>
    </w:lvl>
    <w:lvl w:ilvl="2" w:tplc="92AC44CC">
      <w:numFmt w:val="decimal"/>
      <w:lvlText w:val=""/>
      <w:lvlJc w:val="left"/>
    </w:lvl>
    <w:lvl w:ilvl="3" w:tplc="AB462EDA">
      <w:numFmt w:val="decimal"/>
      <w:lvlText w:val=""/>
      <w:lvlJc w:val="left"/>
    </w:lvl>
    <w:lvl w:ilvl="4" w:tplc="BED20B9E">
      <w:numFmt w:val="decimal"/>
      <w:lvlText w:val=""/>
      <w:lvlJc w:val="left"/>
    </w:lvl>
    <w:lvl w:ilvl="5" w:tplc="2C8E9CEA">
      <w:numFmt w:val="decimal"/>
      <w:lvlText w:val=""/>
      <w:lvlJc w:val="left"/>
    </w:lvl>
    <w:lvl w:ilvl="6" w:tplc="3EBC06FC">
      <w:numFmt w:val="decimal"/>
      <w:lvlText w:val=""/>
      <w:lvlJc w:val="left"/>
    </w:lvl>
    <w:lvl w:ilvl="7" w:tplc="6DDAA190">
      <w:numFmt w:val="decimal"/>
      <w:lvlText w:val=""/>
      <w:lvlJc w:val="left"/>
    </w:lvl>
    <w:lvl w:ilvl="8" w:tplc="ABF4325A">
      <w:numFmt w:val="decimal"/>
      <w:lvlText w:val=""/>
      <w:lvlJc w:val="left"/>
    </w:lvl>
  </w:abstractNum>
  <w:abstractNum w:abstractNumId="1" w15:restartNumberingAfterBreak="0">
    <w:nsid w:val="5043550C"/>
    <w:multiLevelType w:val="hybridMultilevel"/>
    <w:tmpl w:val="F2205B90"/>
    <w:lvl w:ilvl="0" w:tplc="225207EE">
      <w:start w:val="1"/>
      <w:numFmt w:val="bullet"/>
      <w:lvlText w:val="●"/>
      <w:lvlJc w:val="left"/>
      <w:pPr>
        <w:ind w:left="720" w:hanging="360"/>
      </w:pPr>
    </w:lvl>
    <w:lvl w:ilvl="1" w:tplc="858E240C">
      <w:start w:val="1"/>
      <w:numFmt w:val="bullet"/>
      <w:lvlText w:val="○"/>
      <w:lvlJc w:val="left"/>
      <w:pPr>
        <w:ind w:left="1440" w:hanging="360"/>
      </w:pPr>
    </w:lvl>
    <w:lvl w:ilvl="2" w:tplc="544EC07E">
      <w:start w:val="1"/>
      <w:numFmt w:val="bullet"/>
      <w:lvlText w:val="■"/>
      <w:lvlJc w:val="left"/>
      <w:pPr>
        <w:ind w:left="2160" w:hanging="360"/>
      </w:pPr>
    </w:lvl>
    <w:lvl w:ilvl="3" w:tplc="209A37CA">
      <w:start w:val="1"/>
      <w:numFmt w:val="bullet"/>
      <w:lvlText w:val="●"/>
      <w:lvlJc w:val="left"/>
      <w:pPr>
        <w:ind w:left="2880" w:hanging="360"/>
      </w:pPr>
    </w:lvl>
    <w:lvl w:ilvl="4" w:tplc="A27CE7C8">
      <w:start w:val="1"/>
      <w:numFmt w:val="bullet"/>
      <w:lvlText w:val="○"/>
      <w:lvlJc w:val="left"/>
      <w:pPr>
        <w:ind w:left="3600" w:hanging="360"/>
      </w:pPr>
    </w:lvl>
    <w:lvl w:ilvl="5" w:tplc="6AF00754">
      <w:start w:val="1"/>
      <w:numFmt w:val="bullet"/>
      <w:lvlText w:val="■"/>
      <w:lvlJc w:val="left"/>
      <w:pPr>
        <w:ind w:left="4320" w:hanging="360"/>
      </w:pPr>
    </w:lvl>
    <w:lvl w:ilvl="6" w:tplc="6FCEA76A">
      <w:start w:val="1"/>
      <w:numFmt w:val="bullet"/>
      <w:lvlText w:val="●"/>
      <w:lvlJc w:val="left"/>
      <w:pPr>
        <w:ind w:left="5040" w:hanging="360"/>
      </w:pPr>
    </w:lvl>
    <w:lvl w:ilvl="7" w:tplc="1A2C7610">
      <w:start w:val="1"/>
      <w:numFmt w:val="bullet"/>
      <w:lvlText w:val="●"/>
      <w:lvlJc w:val="left"/>
      <w:pPr>
        <w:ind w:left="5760" w:hanging="360"/>
      </w:pPr>
    </w:lvl>
    <w:lvl w:ilvl="8" w:tplc="B31A697C">
      <w:start w:val="1"/>
      <w:numFmt w:val="bullet"/>
      <w:lvlText w:val="●"/>
      <w:lvlJc w:val="left"/>
      <w:pPr>
        <w:ind w:left="6480" w:hanging="360"/>
      </w:pPr>
    </w:lvl>
  </w:abstractNum>
  <w:abstractNum w:abstractNumId="2" w15:restartNumberingAfterBreak="0">
    <w:nsid w:val="7DBB5078"/>
    <w:multiLevelType w:val="hybridMultilevel"/>
    <w:tmpl w:val="C788690A"/>
    <w:lvl w:ilvl="0" w:tplc="35DA5F92">
      <w:start w:val="1"/>
      <w:numFmt w:val="decimal"/>
      <w:lvlText w:val="%1."/>
      <w:lvlJc w:val="left"/>
      <w:pPr>
        <w:ind w:left="720" w:hanging="360"/>
      </w:pPr>
    </w:lvl>
    <w:lvl w:ilvl="1" w:tplc="E318C1BE">
      <w:numFmt w:val="decimal"/>
      <w:lvlText w:val=""/>
      <w:lvlJc w:val="left"/>
    </w:lvl>
    <w:lvl w:ilvl="2" w:tplc="2A8CC958">
      <w:numFmt w:val="decimal"/>
      <w:lvlText w:val=""/>
      <w:lvlJc w:val="left"/>
    </w:lvl>
    <w:lvl w:ilvl="3" w:tplc="A7B09120">
      <w:numFmt w:val="decimal"/>
      <w:lvlText w:val=""/>
      <w:lvlJc w:val="left"/>
    </w:lvl>
    <w:lvl w:ilvl="4" w:tplc="0052A446">
      <w:numFmt w:val="decimal"/>
      <w:lvlText w:val=""/>
      <w:lvlJc w:val="left"/>
    </w:lvl>
    <w:lvl w:ilvl="5" w:tplc="BA8AF7EA">
      <w:numFmt w:val="decimal"/>
      <w:lvlText w:val=""/>
      <w:lvlJc w:val="left"/>
    </w:lvl>
    <w:lvl w:ilvl="6" w:tplc="58648A5E">
      <w:numFmt w:val="decimal"/>
      <w:lvlText w:val=""/>
      <w:lvlJc w:val="left"/>
    </w:lvl>
    <w:lvl w:ilvl="7" w:tplc="BFC46FB8">
      <w:numFmt w:val="decimal"/>
      <w:lvlText w:val=""/>
      <w:lvlJc w:val="left"/>
    </w:lvl>
    <w:lvl w:ilvl="8" w:tplc="439051FE">
      <w:numFmt w:val="decimal"/>
      <w:lvlText w:val=""/>
      <w:lvlJc w:val="left"/>
    </w:lvl>
  </w:abstractNum>
  <w:num w:numId="1" w16cid:durableId="603265091">
    <w:abstractNumId w:val="1"/>
    <w:lvlOverride w:ilvl="0">
      <w:startOverride w:val="1"/>
    </w:lvlOverride>
  </w:num>
  <w:num w:numId="2" w16cid:durableId="292489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54"/>
    <w:rsid w:val="000A53C0"/>
    <w:rsid w:val="00144732"/>
    <w:rsid w:val="0017737F"/>
    <w:rsid w:val="002D4554"/>
    <w:rsid w:val="00377243"/>
    <w:rsid w:val="00577C1A"/>
    <w:rsid w:val="00954054"/>
    <w:rsid w:val="00A6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4D26"/>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pPr>
      <w:ind w:left="72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tsakshi2615@gmail.com</cp:lastModifiedBy>
  <cp:revision>2</cp:revision>
  <dcterms:created xsi:type="dcterms:W3CDTF">2026-03-27T07:55:00Z</dcterms:created>
  <dcterms:modified xsi:type="dcterms:W3CDTF">2026-03-27T07:55:00Z</dcterms:modified>
</cp:coreProperties>
</file>