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212D9" w14:textId="77777777" w:rsidR="00CA23C2" w:rsidRPr="00BC4626" w:rsidRDefault="00136E26" w:rsidP="00BC4626">
      <w:pPr>
        <w:pStyle w:val="Heading1"/>
        <w:jc w:val="center"/>
        <w:rPr>
          <w:color w:val="000000" w:themeColor="text1"/>
          <w:u w:val="single"/>
        </w:rPr>
      </w:pPr>
      <w:r w:rsidRPr="00BC4626">
        <w:rPr>
          <w:color w:val="000000" w:themeColor="text1"/>
          <w:u w:val="single"/>
        </w:rPr>
        <w:t>STUDENT WELFARE FORUM (SWF)</w:t>
      </w:r>
    </w:p>
    <w:p w14:paraId="42462CD5" w14:textId="77777777" w:rsidR="00CA23C2" w:rsidRPr="00BC4626" w:rsidRDefault="00136E26">
      <w:pPr>
        <w:spacing w:before="60" w:after="100"/>
        <w:jc w:val="both"/>
        <w:rPr>
          <w:color w:val="000000" w:themeColor="text1"/>
        </w:rPr>
      </w:pPr>
      <w:r w:rsidRPr="00BC4626">
        <w:rPr>
          <w:color w:val="000000" w:themeColor="text1"/>
        </w:rPr>
        <w:t>The Student Welfare Forum (SWF) at COEP Technological University is dedicated to the holistic welfare of students through academic support, scholarship assistance, cultural celebrations, and initiatives promoting personal development and social responsibility.</w:t>
      </w:r>
    </w:p>
    <w:p w14:paraId="73DB8DF0" w14:textId="77777777" w:rsidR="00CA23C2" w:rsidRPr="00BC4626" w:rsidRDefault="00CA23C2">
      <w:pPr>
        <w:spacing w:before="80" w:after="80"/>
        <w:rPr>
          <w:color w:val="000000" w:themeColor="text1"/>
        </w:rPr>
      </w:pPr>
    </w:p>
    <w:p w14:paraId="48E1259A" w14:textId="77777777" w:rsidR="00CA23C2" w:rsidRPr="00BC4626" w:rsidRDefault="00136E26">
      <w:pPr>
        <w:pStyle w:val="Heading2"/>
        <w:rPr>
          <w:color w:val="000000" w:themeColor="text1"/>
        </w:rPr>
      </w:pPr>
      <w:r w:rsidRPr="00BC4626">
        <w:rPr>
          <w:color w:val="000000" w:themeColor="text1"/>
        </w:rPr>
        <w:t>Major Activities &amp; Events</w:t>
      </w:r>
    </w:p>
    <w:p w14:paraId="006C50B4" w14:textId="77777777" w:rsidR="00CA23C2" w:rsidRPr="00BC4626" w:rsidRDefault="00CA23C2">
      <w:pPr>
        <w:spacing w:before="80" w:after="80"/>
        <w:rPr>
          <w:color w:val="000000" w:themeColor="text1"/>
        </w:rPr>
      </w:pPr>
    </w:p>
    <w:p w14:paraId="5660AF01" w14:textId="77777777" w:rsidR="00CA23C2" w:rsidRPr="00BC4626" w:rsidRDefault="00136E26">
      <w:pPr>
        <w:spacing w:before="120" w:after="60"/>
        <w:rPr>
          <w:color w:val="000000" w:themeColor="text1"/>
        </w:rPr>
      </w:pPr>
      <w:r w:rsidRPr="00BC4626">
        <w:rPr>
          <w:b/>
          <w:bCs/>
          <w:color w:val="000000" w:themeColor="text1"/>
          <w:sz w:val="23"/>
          <w:szCs w:val="23"/>
        </w:rPr>
        <w:t>1. FY B.Tech Admissions – Spot Round Assistance</w:t>
      </w:r>
    </w:p>
    <w:p w14:paraId="56269A3F" w14:textId="77777777" w:rsidR="00CA23C2" w:rsidRPr="00BC4626" w:rsidRDefault="00136E26">
      <w:pPr>
        <w:spacing w:before="60" w:after="100"/>
        <w:jc w:val="both"/>
        <w:rPr>
          <w:color w:val="000000" w:themeColor="text1"/>
        </w:rPr>
      </w:pPr>
      <w:r w:rsidRPr="00BC4626">
        <w:rPr>
          <w:color w:val="000000" w:themeColor="text1"/>
        </w:rPr>
        <w:t>SWF provided on-ground guidance and support to newly admitted students during the FY B.Tech Admissions Spot Round, helping them navigate the admission process smoothly and ensuring a welcoming start to their college journey.</w:t>
      </w:r>
    </w:p>
    <w:p w14:paraId="21F842DF" w14:textId="77777777" w:rsidR="00CA23C2" w:rsidRPr="00BC4626" w:rsidRDefault="00CA23C2">
      <w:pPr>
        <w:spacing w:before="80" w:after="80"/>
        <w:rPr>
          <w:color w:val="000000" w:themeColor="text1"/>
        </w:rPr>
      </w:pPr>
    </w:p>
    <w:p w14:paraId="4C2A32A3" w14:textId="77777777" w:rsidR="00CA23C2" w:rsidRPr="00BC4626" w:rsidRDefault="00136E26">
      <w:pPr>
        <w:spacing w:before="120" w:after="60"/>
        <w:rPr>
          <w:color w:val="000000" w:themeColor="text1"/>
        </w:rPr>
      </w:pPr>
      <w:r w:rsidRPr="00BC4626">
        <w:rPr>
          <w:b/>
          <w:bCs/>
          <w:color w:val="000000" w:themeColor="text1"/>
          <w:sz w:val="23"/>
          <w:szCs w:val="23"/>
        </w:rPr>
        <w:t>2. Scholarship Camps</w:t>
      </w:r>
    </w:p>
    <w:p w14:paraId="09E577F3" w14:textId="77777777" w:rsidR="00CA23C2" w:rsidRPr="00BC4626" w:rsidRDefault="00136E26">
      <w:pPr>
        <w:spacing w:before="60" w:after="100"/>
        <w:jc w:val="both"/>
        <w:rPr>
          <w:color w:val="000000" w:themeColor="text1"/>
        </w:rPr>
      </w:pPr>
      <w:r w:rsidRPr="00BC4626">
        <w:rPr>
          <w:color w:val="000000" w:themeColor="text1"/>
        </w:rPr>
        <w:t>Multiple scholarship camps were conducted to assist students with scholarship awareness and application processes. The initiative helped students from diverse economic backgrounds access financial support for their education, reflecting SWF's commitment to inclusive student welfare.</w:t>
      </w:r>
    </w:p>
    <w:p w14:paraId="43376BDC" w14:textId="77777777" w:rsidR="00CA23C2" w:rsidRPr="00BC4626" w:rsidRDefault="00CA23C2">
      <w:pPr>
        <w:spacing w:before="80" w:after="80"/>
        <w:rPr>
          <w:color w:val="000000" w:themeColor="text1"/>
        </w:rPr>
      </w:pPr>
    </w:p>
    <w:p w14:paraId="4031B4CF" w14:textId="77777777" w:rsidR="00CA23C2" w:rsidRPr="00BC4626" w:rsidRDefault="00136E26">
      <w:pPr>
        <w:spacing w:before="120" w:after="60"/>
        <w:rPr>
          <w:color w:val="000000" w:themeColor="text1"/>
        </w:rPr>
      </w:pPr>
      <w:r w:rsidRPr="00BC4626">
        <w:rPr>
          <w:b/>
          <w:bCs/>
          <w:color w:val="000000" w:themeColor="text1"/>
          <w:sz w:val="23"/>
          <w:szCs w:val="23"/>
        </w:rPr>
        <w:t>3. Digital Detox Program</w:t>
      </w:r>
    </w:p>
    <w:p w14:paraId="4DF23387" w14:textId="77777777" w:rsidR="00CA23C2" w:rsidRPr="00BC4626" w:rsidRDefault="00136E26">
      <w:pPr>
        <w:spacing w:before="60" w:after="100"/>
        <w:jc w:val="both"/>
        <w:rPr>
          <w:color w:val="000000" w:themeColor="text1"/>
        </w:rPr>
      </w:pPr>
      <w:r w:rsidRPr="00BC4626">
        <w:rPr>
          <w:color w:val="000000" w:themeColor="text1"/>
        </w:rPr>
        <w:t>SWF organized a Digital Detox Program to encourage students to reduce digital dependency and focus on academic growth and personal development. The initiative promoted mindful technology use and healthier academic habits.</w:t>
      </w:r>
    </w:p>
    <w:p w14:paraId="5FAFA313" w14:textId="77777777" w:rsidR="00CA23C2" w:rsidRPr="00BC4626" w:rsidRDefault="00CA23C2">
      <w:pPr>
        <w:spacing w:before="80" w:after="80"/>
        <w:rPr>
          <w:color w:val="000000" w:themeColor="text1"/>
        </w:rPr>
      </w:pPr>
    </w:p>
    <w:p w14:paraId="700FF25B" w14:textId="77777777" w:rsidR="00CA23C2" w:rsidRPr="00BC4626" w:rsidRDefault="00136E26">
      <w:pPr>
        <w:spacing w:before="120" w:after="60"/>
        <w:rPr>
          <w:color w:val="000000" w:themeColor="text1"/>
        </w:rPr>
      </w:pPr>
      <w:r w:rsidRPr="00BC4626">
        <w:rPr>
          <w:b/>
          <w:bCs/>
          <w:color w:val="000000" w:themeColor="text1"/>
          <w:sz w:val="23"/>
          <w:szCs w:val="23"/>
        </w:rPr>
        <w:t>4. Vachan Prerna Din</w:t>
      </w:r>
    </w:p>
    <w:p w14:paraId="2ED180D3" w14:textId="77777777" w:rsidR="00CA23C2" w:rsidRPr="00BC4626" w:rsidRDefault="00136E26">
      <w:pPr>
        <w:spacing w:before="60" w:after="100"/>
        <w:jc w:val="both"/>
        <w:rPr>
          <w:color w:val="000000" w:themeColor="text1"/>
        </w:rPr>
      </w:pPr>
      <w:r w:rsidRPr="00BC4626">
        <w:rPr>
          <w:color w:val="000000" w:themeColor="text1"/>
        </w:rPr>
        <w:t>Vachan Prerna Din was organized to promote reading habits and the importance of literature among students. The event celebrated the joy of reading and inspired students to explore books and knowledge beyond academic textbooks.</w:t>
      </w:r>
    </w:p>
    <w:p w14:paraId="3647EA8E" w14:textId="77777777" w:rsidR="00CA23C2" w:rsidRPr="00BC4626" w:rsidRDefault="00CA23C2">
      <w:pPr>
        <w:spacing w:before="80" w:after="80"/>
        <w:rPr>
          <w:color w:val="000000" w:themeColor="text1"/>
        </w:rPr>
      </w:pPr>
    </w:p>
    <w:p w14:paraId="7FFE237F" w14:textId="77777777" w:rsidR="00CA23C2" w:rsidRPr="00BC4626" w:rsidRDefault="00136E26">
      <w:pPr>
        <w:spacing w:before="120" w:after="60"/>
        <w:rPr>
          <w:color w:val="000000" w:themeColor="text1"/>
        </w:rPr>
      </w:pPr>
      <w:r w:rsidRPr="00BC4626">
        <w:rPr>
          <w:b/>
          <w:bCs/>
          <w:color w:val="000000" w:themeColor="text1"/>
          <w:sz w:val="23"/>
          <w:szCs w:val="23"/>
        </w:rPr>
        <w:t>5. Chhatrapati Shivaji Maharaj Jayanti</w:t>
      </w:r>
    </w:p>
    <w:p w14:paraId="53A4BE24" w14:textId="77777777" w:rsidR="00CA23C2" w:rsidRPr="00BC4626" w:rsidRDefault="00136E26">
      <w:pPr>
        <w:spacing w:before="60" w:after="100"/>
        <w:jc w:val="both"/>
        <w:rPr>
          <w:color w:val="000000" w:themeColor="text1"/>
        </w:rPr>
      </w:pPr>
      <w:r w:rsidRPr="00BC4626">
        <w:rPr>
          <w:color w:val="000000" w:themeColor="text1"/>
        </w:rPr>
        <w:t>The forum celebrated Chhatrapati Shivaji Maharaj Jayanti with traditional and cultural activities, honoring the great Maratha king's legacy of leadership, justice, and valor, and fostering a sense of cultural pride among students.</w:t>
      </w:r>
    </w:p>
    <w:p w14:paraId="721F406B" w14:textId="77777777" w:rsidR="00CA23C2" w:rsidRPr="00BC4626" w:rsidRDefault="00CA23C2">
      <w:pPr>
        <w:spacing w:before="80" w:after="80"/>
        <w:rPr>
          <w:color w:val="000000" w:themeColor="text1"/>
        </w:rPr>
      </w:pPr>
    </w:p>
    <w:p w14:paraId="33F744CE" w14:textId="77777777" w:rsidR="00CA23C2" w:rsidRPr="00BC4626" w:rsidRDefault="00136E26">
      <w:pPr>
        <w:spacing w:before="120" w:after="60"/>
        <w:rPr>
          <w:color w:val="000000" w:themeColor="text1"/>
        </w:rPr>
      </w:pPr>
      <w:r w:rsidRPr="00BC4626">
        <w:rPr>
          <w:b/>
          <w:bCs/>
          <w:color w:val="000000" w:themeColor="text1"/>
          <w:sz w:val="23"/>
          <w:szCs w:val="23"/>
        </w:rPr>
        <w:t>6. 14-Hour Continuous Study Program – Dr. Babasaheb Ambedkar Jayanti</w:t>
      </w:r>
    </w:p>
    <w:p w14:paraId="301756F2" w14:textId="77777777" w:rsidR="00CA23C2" w:rsidRPr="00BC4626" w:rsidRDefault="00136E26">
      <w:pPr>
        <w:spacing w:before="60" w:after="100"/>
        <w:jc w:val="both"/>
        <w:rPr>
          <w:color w:val="000000" w:themeColor="text1"/>
        </w:rPr>
      </w:pPr>
      <w:r w:rsidRPr="00BC4626">
        <w:rPr>
          <w:color w:val="000000" w:themeColor="text1"/>
        </w:rPr>
        <w:t>On the occasion of Dr. Babasaheb Ambedkar Jayanti, SWF organized a focused 14-hour continuous study program as a tribute to Dr. Ambedkar's unwavering commitment to education. The initiative encouraged students to dedicate themselves to learning, reflecting his ideals of empowerment through knowledge.</w:t>
      </w:r>
    </w:p>
    <w:p w14:paraId="0A6F6007" w14:textId="77777777" w:rsidR="00CA23C2" w:rsidRPr="00BC4626" w:rsidRDefault="00CA23C2">
      <w:pPr>
        <w:spacing w:before="80" w:after="80"/>
        <w:rPr>
          <w:color w:val="000000" w:themeColor="text1"/>
        </w:rPr>
      </w:pPr>
    </w:p>
    <w:p w14:paraId="6DC3A569" w14:textId="77777777" w:rsidR="00CA23C2" w:rsidRPr="00BC4626" w:rsidRDefault="00136E26">
      <w:pPr>
        <w:pStyle w:val="Heading2"/>
        <w:rPr>
          <w:color w:val="000000" w:themeColor="text1"/>
        </w:rPr>
      </w:pPr>
      <w:r w:rsidRPr="00BC4626">
        <w:rPr>
          <w:color w:val="000000" w:themeColor="text1"/>
        </w:rPr>
        <w:t>Key Milestones &amp; Achievements</w:t>
      </w:r>
    </w:p>
    <w:p w14:paraId="05ADA82E" w14:textId="77777777" w:rsidR="00CA23C2" w:rsidRPr="00BC4626" w:rsidRDefault="00136E26">
      <w:pPr>
        <w:pStyle w:val="ListParagraph"/>
        <w:numPr>
          <w:ilvl w:val="0"/>
          <w:numId w:val="2"/>
        </w:numPr>
        <w:spacing w:before="40" w:after="40"/>
        <w:rPr>
          <w:color w:val="000000" w:themeColor="text1"/>
        </w:rPr>
      </w:pPr>
      <w:r w:rsidRPr="00BC4626">
        <w:rPr>
          <w:color w:val="000000" w:themeColor="text1"/>
        </w:rPr>
        <w:t>Successfully supported first-year admissions through spot round assistance, easing the transition for newly admitted students.</w:t>
      </w:r>
    </w:p>
    <w:p w14:paraId="7219A9ED" w14:textId="77777777" w:rsidR="00CA23C2" w:rsidRPr="00BC4626" w:rsidRDefault="00136E26">
      <w:pPr>
        <w:pStyle w:val="ListParagraph"/>
        <w:numPr>
          <w:ilvl w:val="0"/>
          <w:numId w:val="2"/>
        </w:numPr>
        <w:spacing w:before="40" w:after="40"/>
        <w:rPr>
          <w:color w:val="000000" w:themeColor="text1"/>
        </w:rPr>
      </w:pPr>
      <w:r w:rsidRPr="00BC4626">
        <w:rPr>
          <w:color w:val="000000" w:themeColor="text1"/>
        </w:rPr>
        <w:lastRenderedPageBreak/>
        <w:t>Reached a large student base through multiple scholarship assistance campaigns, improving financial accessibility to education.</w:t>
      </w:r>
    </w:p>
    <w:p w14:paraId="5D98D24C" w14:textId="77777777" w:rsidR="00CA23C2" w:rsidRPr="00BC4626" w:rsidRDefault="00136E26">
      <w:pPr>
        <w:pStyle w:val="ListParagraph"/>
        <w:numPr>
          <w:ilvl w:val="0"/>
          <w:numId w:val="2"/>
        </w:numPr>
        <w:spacing w:before="40" w:after="40"/>
        <w:rPr>
          <w:color w:val="000000" w:themeColor="text1"/>
        </w:rPr>
      </w:pPr>
      <w:r w:rsidRPr="00BC4626">
        <w:rPr>
          <w:color w:val="000000" w:themeColor="text1"/>
        </w:rPr>
        <w:t>Organized long-duration academic and awareness programs with active student participation.</w:t>
      </w:r>
    </w:p>
    <w:p w14:paraId="4AC88859" w14:textId="77777777" w:rsidR="00CA23C2" w:rsidRPr="00BC4626" w:rsidRDefault="00136E26">
      <w:pPr>
        <w:pStyle w:val="ListParagraph"/>
        <w:numPr>
          <w:ilvl w:val="0"/>
          <w:numId w:val="2"/>
        </w:numPr>
        <w:spacing w:before="40" w:after="40"/>
        <w:rPr>
          <w:color w:val="000000" w:themeColor="text1"/>
        </w:rPr>
      </w:pPr>
      <w:r w:rsidRPr="00BC4626">
        <w:rPr>
          <w:color w:val="000000" w:themeColor="text1"/>
        </w:rPr>
        <w:t>Strengthened student welfare initiatives through a well-rounded portfolio of cultural, academic, and social programs.</w:t>
      </w:r>
    </w:p>
    <w:p w14:paraId="414F3DCB" w14:textId="77777777" w:rsidR="00BC4626" w:rsidRPr="00BC4626" w:rsidRDefault="00BC4626" w:rsidP="00BC4626">
      <w:pPr>
        <w:pStyle w:val="Heading2"/>
        <w:rPr>
          <w:color w:val="000000" w:themeColor="text1"/>
        </w:rPr>
      </w:pPr>
      <w:r w:rsidRPr="00BC4626">
        <w:rPr>
          <w:color w:val="000000" w:themeColor="text1"/>
        </w:rPr>
        <w:t>Core Team 2024-25</w:t>
      </w:r>
    </w:p>
    <w:p w14:paraId="18026D9D" w14:textId="77777777" w:rsidR="00BC4626" w:rsidRPr="00BC4626" w:rsidRDefault="00BC4626" w:rsidP="00BC4626">
      <w:pPr>
        <w:spacing w:before="60" w:after="60"/>
        <w:rPr>
          <w:color w:val="000000" w:themeColor="text1"/>
        </w:rPr>
      </w:pPr>
      <w:r w:rsidRPr="00BC4626">
        <w:rPr>
          <w:b/>
          <w:bCs/>
          <w:color w:val="000000" w:themeColor="text1"/>
        </w:rPr>
        <w:t xml:space="preserve">Faculty Advisor: </w:t>
      </w:r>
      <w:r w:rsidRPr="00BC4626">
        <w:rPr>
          <w:color w:val="000000" w:themeColor="text1"/>
        </w:rPr>
        <w:t>Dr. D.P.D. Pantawane</w:t>
      </w:r>
    </w:p>
    <w:p w14:paraId="3033E3D9" w14:textId="77777777" w:rsidR="00BC4626" w:rsidRPr="00BC4626" w:rsidRDefault="00BC4626" w:rsidP="00BC4626">
      <w:pPr>
        <w:spacing w:before="60" w:after="60"/>
        <w:rPr>
          <w:color w:val="000000" w:themeColor="text1"/>
        </w:rPr>
      </w:pPr>
      <w:r w:rsidRPr="00BC4626">
        <w:rPr>
          <w:b/>
          <w:bCs/>
          <w:color w:val="000000" w:themeColor="text1"/>
        </w:rPr>
        <w:t xml:space="preserve">Secretary: </w:t>
      </w:r>
      <w:r w:rsidRPr="00BC4626">
        <w:rPr>
          <w:color w:val="000000" w:themeColor="text1"/>
        </w:rPr>
        <w:t>Amey Shinde</w:t>
      </w:r>
    </w:p>
    <w:p w14:paraId="51B8BE11" w14:textId="77777777" w:rsidR="00BC4626" w:rsidRPr="00BC4626" w:rsidRDefault="00BC4626" w:rsidP="00BC4626">
      <w:pPr>
        <w:spacing w:before="60" w:after="60"/>
        <w:rPr>
          <w:color w:val="000000" w:themeColor="text1"/>
        </w:rPr>
      </w:pPr>
      <w:r w:rsidRPr="00BC4626">
        <w:rPr>
          <w:b/>
          <w:bCs/>
          <w:color w:val="000000" w:themeColor="text1"/>
        </w:rPr>
        <w:t xml:space="preserve">Joint Secretaries: </w:t>
      </w:r>
      <w:r w:rsidRPr="00BC4626">
        <w:rPr>
          <w:color w:val="000000" w:themeColor="text1"/>
        </w:rPr>
        <w:t>Harsh Sonawane, Dishant Kale, Pranav Dhotamani</w:t>
      </w:r>
    </w:p>
    <w:p w14:paraId="376081E5" w14:textId="77777777" w:rsidR="00BC4626" w:rsidRPr="00BC4626" w:rsidRDefault="00BC4626" w:rsidP="00BC4626">
      <w:pPr>
        <w:spacing w:before="60" w:after="60"/>
        <w:rPr>
          <w:color w:val="000000" w:themeColor="text1"/>
        </w:rPr>
      </w:pPr>
      <w:r w:rsidRPr="00BC4626">
        <w:rPr>
          <w:b/>
          <w:bCs/>
          <w:color w:val="000000" w:themeColor="text1"/>
        </w:rPr>
        <w:t xml:space="preserve">Auditor: </w:t>
      </w:r>
      <w:r w:rsidRPr="00BC4626">
        <w:rPr>
          <w:color w:val="000000" w:themeColor="text1"/>
        </w:rPr>
        <w:t>Jugnu Baldota</w:t>
      </w:r>
    </w:p>
    <w:p w14:paraId="0C64015E" w14:textId="77777777" w:rsidR="00BC4626" w:rsidRPr="00BC4626" w:rsidRDefault="00BC4626" w:rsidP="00BC4626">
      <w:pPr>
        <w:spacing w:before="60" w:after="60"/>
        <w:rPr>
          <w:color w:val="000000" w:themeColor="text1"/>
        </w:rPr>
      </w:pPr>
      <w:r w:rsidRPr="00BC4626">
        <w:rPr>
          <w:b/>
          <w:bCs/>
          <w:color w:val="000000" w:themeColor="text1"/>
        </w:rPr>
        <w:t xml:space="preserve">Events Heads: </w:t>
      </w:r>
      <w:r w:rsidRPr="00BC4626">
        <w:rPr>
          <w:color w:val="000000" w:themeColor="text1"/>
        </w:rPr>
        <w:t>Sakshi Ghatol, Tanishq Kapkar, Akash Pardhe</w:t>
      </w:r>
    </w:p>
    <w:p w14:paraId="73951816" w14:textId="77777777" w:rsidR="00BC4626" w:rsidRPr="00BC4626" w:rsidRDefault="00BC4626" w:rsidP="00BC4626">
      <w:pPr>
        <w:spacing w:before="60" w:after="60"/>
        <w:rPr>
          <w:color w:val="000000" w:themeColor="text1"/>
        </w:rPr>
      </w:pPr>
      <w:r w:rsidRPr="00BC4626">
        <w:rPr>
          <w:b/>
          <w:bCs/>
          <w:color w:val="000000" w:themeColor="text1"/>
        </w:rPr>
        <w:t xml:space="preserve">Documentation Head: </w:t>
      </w:r>
      <w:r w:rsidRPr="00BC4626">
        <w:rPr>
          <w:color w:val="000000" w:themeColor="text1"/>
        </w:rPr>
        <w:t>Raj Kale, Soham Takawadekar</w:t>
      </w:r>
    </w:p>
    <w:p w14:paraId="39C9F2E3" w14:textId="77777777" w:rsidR="00BC4626" w:rsidRPr="00BC4626" w:rsidRDefault="00BC4626" w:rsidP="00BC4626">
      <w:pPr>
        <w:spacing w:before="60" w:after="60"/>
        <w:rPr>
          <w:color w:val="000000" w:themeColor="text1"/>
        </w:rPr>
      </w:pPr>
      <w:r w:rsidRPr="00BC4626">
        <w:rPr>
          <w:b/>
          <w:bCs/>
          <w:color w:val="000000" w:themeColor="text1"/>
        </w:rPr>
        <w:t xml:space="preserve">Media &amp; Design: </w:t>
      </w:r>
      <w:r w:rsidRPr="00BC4626">
        <w:rPr>
          <w:color w:val="000000" w:themeColor="text1"/>
        </w:rPr>
        <w:t>Virbhadra Baviskar, Omkar Jadhav</w:t>
      </w:r>
    </w:p>
    <w:p w14:paraId="1377C1B7" w14:textId="77777777" w:rsidR="00BC4626" w:rsidRPr="00BC4626" w:rsidRDefault="00BC4626" w:rsidP="00BC4626">
      <w:pPr>
        <w:spacing w:before="60" w:after="60"/>
        <w:rPr>
          <w:color w:val="000000" w:themeColor="text1"/>
        </w:rPr>
      </w:pPr>
      <w:r w:rsidRPr="00BC4626">
        <w:rPr>
          <w:b/>
          <w:bCs/>
          <w:color w:val="000000" w:themeColor="text1"/>
        </w:rPr>
        <w:t xml:space="preserve">Scholarship &amp; Assistance: </w:t>
      </w:r>
      <w:r w:rsidRPr="00BC4626">
        <w:rPr>
          <w:color w:val="000000" w:themeColor="text1"/>
        </w:rPr>
        <w:t>Vedant Mundhe, Mayank Nagle</w:t>
      </w:r>
    </w:p>
    <w:p w14:paraId="744F3563" w14:textId="77777777" w:rsidR="00BC4626" w:rsidRPr="00BC4626" w:rsidRDefault="00BC4626" w:rsidP="00BC4626">
      <w:pPr>
        <w:spacing w:before="60" w:after="60"/>
        <w:rPr>
          <w:color w:val="000000" w:themeColor="text1"/>
        </w:rPr>
      </w:pPr>
      <w:r w:rsidRPr="00BC4626">
        <w:rPr>
          <w:b/>
          <w:bCs/>
          <w:color w:val="000000" w:themeColor="text1"/>
        </w:rPr>
        <w:t xml:space="preserve">Purchase Head: </w:t>
      </w:r>
      <w:r w:rsidRPr="00BC4626">
        <w:rPr>
          <w:color w:val="000000" w:themeColor="text1"/>
        </w:rPr>
        <w:t>Harshal Bhandari</w:t>
      </w:r>
    </w:p>
    <w:p w14:paraId="1DC001BD" w14:textId="77777777" w:rsidR="00BC4626" w:rsidRPr="00BC4626" w:rsidRDefault="00BC4626" w:rsidP="00BC4626">
      <w:pPr>
        <w:spacing w:before="60" w:after="60"/>
        <w:rPr>
          <w:color w:val="000000" w:themeColor="text1"/>
        </w:rPr>
      </w:pPr>
      <w:r w:rsidRPr="00BC4626">
        <w:rPr>
          <w:b/>
          <w:bCs/>
          <w:color w:val="000000" w:themeColor="text1"/>
        </w:rPr>
        <w:t xml:space="preserve">Public Relations: </w:t>
      </w:r>
      <w:r w:rsidRPr="00BC4626">
        <w:rPr>
          <w:color w:val="000000" w:themeColor="text1"/>
        </w:rPr>
        <w:t>Mrunali Nagrale, Samruddhi Girgaonkar, Samyak Sonawane</w:t>
      </w:r>
    </w:p>
    <w:p w14:paraId="6A0F835A" w14:textId="77777777" w:rsidR="00BC4626" w:rsidRPr="00BC4626" w:rsidRDefault="00BC4626" w:rsidP="00BC4626">
      <w:pPr>
        <w:spacing w:before="60" w:after="60"/>
        <w:rPr>
          <w:color w:val="000000" w:themeColor="text1"/>
        </w:rPr>
      </w:pPr>
      <w:r w:rsidRPr="00BC4626">
        <w:rPr>
          <w:b/>
          <w:bCs/>
          <w:color w:val="000000" w:themeColor="text1"/>
        </w:rPr>
        <w:t xml:space="preserve">Campus Head: </w:t>
      </w:r>
      <w:r w:rsidRPr="00BC4626">
        <w:rPr>
          <w:color w:val="000000" w:themeColor="text1"/>
        </w:rPr>
        <w:t>Avadhoot Deshpande, Anuj Dhawal</w:t>
      </w:r>
    </w:p>
    <w:p w14:paraId="702F0FC6" w14:textId="77777777" w:rsidR="00BC4626" w:rsidRPr="00BC4626" w:rsidRDefault="00BC4626" w:rsidP="00BC4626">
      <w:pPr>
        <w:spacing w:before="60" w:after="60"/>
        <w:rPr>
          <w:color w:val="000000" w:themeColor="text1"/>
        </w:rPr>
      </w:pPr>
      <w:r w:rsidRPr="00BC4626">
        <w:rPr>
          <w:b/>
          <w:bCs/>
          <w:color w:val="000000" w:themeColor="text1"/>
        </w:rPr>
        <w:t xml:space="preserve">Girls Representative: </w:t>
      </w:r>
      <w:r w:rsidRPr="00BC4626">
        <w:rPr>
          <w:color w:val="000000" w:themeColor="text1"/>
        </w:rPr>
        <w:t>Shamli Dhande</w:t>
      </w:r>
    </w:p>
    <w:p w14:paraId="587D1757" w14:textId="77777777" w:rsidR="00BC4626" w:rsidRPr="00BC4626" w:rsidRDefault="00BC4626" w:rsidP="00BC4626">
      <w:pPr>
        <w:spacing w:before="60" w:after="60"/>
        <w:rPr>
          <w:color w:val="000000" w:themeColor="text1"/>
        </w:rPr>
      </w:pPr>
      <w:r w:rsidRPr="00BC4626">
        <w:rPr>
          <w:b/>
          <w:bCs/>
          <w:color w:val="000000" w:themeColor="text1"/>
        </w:rPr>
        <w:t xml:space="preserve">SY Representatives: </w:t>
      </w:r>
      <w:r w:rsidRPr="00BC4626">
        <w:rPr>
          <w:color w:val="000000" w:themeColor="text1"/>
        </w:rPr>
        <w:t>Prem Lokhande, Neharika Hood</w:t>
      </w:r>
    </w:p>
    <w:p w14:paraId="0A2396E7" w14:textId="77777777" w:rsidR="00CA23C2" w:rsidRPr="00BC4626" w:rsidRDefault="00CA23C2">
      <w:pPr>
        <w:spacing w:before="80" w:after="80"/>
        <w:rPr>
          <w:color w:val="000000" w:themeColor="text1"/>
        </w:rPr>
      </w:pPr>
    </w:p>
    <w:sectPr w:rsidR="00CA23C2" w:rsidRPr="00BC462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D92"/>
    <w:multiLevelType w:val="hybridMultilevel"/>
    <w:tmpl w:val="101201C8"/>
    <w:lvl w:ilvl="0" w:tplc="9202E466">
      <w:start w:val="1"/>
      <w:numFmt w:val="bullet"/>
      <w:lvlText w:val="●"/>
      <w:lvlJc w:val="left"/>
      <w:pPr>
        <w:ind w:left="720" w:hanging="360"/>
      </w:pPr>
    </w:lvl>
    <w:lvl w:ilvl="1" w:tplc="AC12E442">
      <w:start w:val="1"/>
      <w:numFmt w:val="bullet"/>
      <w:lvlText w:val="○"/>
      <w:lvlJc w:val="left"/>
      <w:pPr>
        <w:ind w:left="1440" w:hanging="360"/>
      </w:pPr>
    </w:lvl>
    <w:lvl w:ilvl="2" w:tplc="3FBA29F8">
      <w:start w:val="1"/>
      <w:numFmt w:val="bullet"/>
      <w:lvlText w:val="■"/>
      <w:lvlJc w:val="left"/>
      <w:pPr>
        <w:ind w:left="2160" w:hanging="360"/>
      </w:pPr>
    </w:lvl>
    <w:lvl w:ilvl="3" w:tplc="7EDE9026">
      <w:start w:val="1"/>
      <w:numFmt w:val="bullet"/>
      <w:lvlText w:val="●"/>
      <w:lvlJc w:val="left"/>
      <w:pPr>
        <w:ind w:left="2880" w:hanging="360"/>
      </w:pPr>
    </w:lvl>
    <w:lvl w:ilvl="4" w:tplc="7D467D56">
      <w:start w:val="1"/>
      <w:numFmt w:val="bullet"/>
      <w:lvlText w:val="○"/>
      <w:lvlJc w:val="left"/>
      <w:pPr>
        <w:ind w:left="3600" w:hanging="360"/>
      </w:pPr>
    </w:lvl>
    <w:lvl w:ilvl="5" w:tplc="F1668392">
      <w:start w:val="1"/>
      <w:numFmt w:val="bullet"/>
      <w:lvlText w:val="■"/>
      <w:lvlJc w:val="left"/>
      <w:pPr>
        <w:ind w:left="4320" w:hanging="360"/>
      </w:pPr>
    </w:lvl>
    <w:lvl w:ilvl="6" w:tplc="E9D40DF8">
      <w:start w:val="1"/>
      <w:numFmt w:val="bullet"/>
      <w:lvlText w:val="●"/>
      <w:lvlJc w:val="left"/>
      <w:pPr>
        <w:ind w:left="5040" w:hanging="360"/>
      </w:pPr>
    </w:lvl>
    <w:lvl w:ilvl="7" w:tplc="68C82E8E">
      <w:start w:val="1"/>
      <w:numFmt w:val="bullet"/>
      <w:lvlText w:val="●"/>
      <w:lvlJc w:val="left"/>
      <w:pPr>
        <w:ind w:left="5760" w:hanging="360"/>
      </w:pPr>
    </w:lvl>
    <w:lvl w:ilvl="8" w:tplc="7838768A">
      <w:start w:val="1"/>
      <w:numFmt w:val="bullet"/>
      <w:lvlText w:val="●"/>
      <w:lvlJc w:val="left"/>
      <w:pPr>
        <w:ind w:left="6480" w:hanging="360"/>
      </w:pPr>
    </w:lvl>
  </w:abstractNum>
  <w:abstractNum w:abstractNumId="1" w15:restartNumberingAfterBreak="0">
    <w:nsid w:val="57AD4187"/>
    <w:multiLevelType w:val="hybridMultilevel"/>
    <w:tmpl w:val="4F166C9E"/>
    <w:lvl w:ilvl="0" w:tplc="70061188">
      <w:start w:val="1"/>
      <w:numFmt w:val="decimal"/>
      <w:lvlText w:val="%1."/>
      <w:lvlJc w:val="left"/>
      <w:pPr>
        <w:ind w:left="720" w:hanging="360"/>
      </w:pPr>
    </w:lvl>
    <w:lvl w:ilvl="1" w:tplc="F23EF96C">
      <w:numFmt w:val="decimal"/>
      <w:lvlText w:val=""/>
      <w:lvlJc w:val="left"/>
    </w:lvl>
    <w:lvl w:ilvl="2" w:tplc="512A10B4">
      <w:numFmt w:val="decimal"/>
      <w:lvlText w:val=""/>
      <w:lvlJc w:val="left"/>
    </w:lvl>
    <w:lvl w:ilvl="3" w:tplc="0EF8C5EA">
      <w:numFmt w:val="decimal"/>
      <w:lvlText w:val=""/>
      <w:lvlJc w:val="left"/>
    </w:lvl>
    <w:lvl w:ilvl="4" w:tplc="4B020C64">
      <w:numFmt w:val="decimal"/>
      <w:lvlText w:val=""/>
      <w:lvlJc w:val="left"/>
    </w:lvl>
    <w:lvl w:ilvl="5" w:tplc="A914DCA6">
      <w:numFmt w:val="decimal"/>
      <w:lvlText w:val=""/>
      <w:lvlJc w:val="left"/>
    </w:lvl>
    <w:lvl w:ilvl="6" w:tplc="58D8CBCA">
      <w:numFmt w:val="decimal"/>
      <w:lvlText w:val=""/>
      <w:lvlJc w:val="left"/>
    </w:lvl>
    <w:lvl w:ilvl="7" w:tplc="7FCC155E">
      <w:numFmt w:val="decimal"/>
      <w:lvlText w:val=""/>
      <w:lvlJc w:val="left"/>
    </w:lvl>
    <w:lvl w:ilvl="8" w:tplc="144E3EA8">
      <w:numFmt w:val="decimal"/>
      <w:lvlText w:val=""/>
      <w:lvlJc w:val="left"/>
    </w:lvl>
  </w:abstractNum>
  <w:abstractNum w:abstractNumId="2" w15:restartNumberingAfterBreak="0">
    <w:nsid w:val="74181BBD"/>
    <w:multiLevelType w:val="hybridMultilevel"/>
    <w:tmpl w:val="9866EE94"/>
    <w:lvl w:ilvl="0" w:tplc="2A02E934">
      <w:start w:val="1"/>
      <w:numFmt w:val="bullet"/>
      <w:lvlText w:val="•"/>
      <w:lvlJc w:val="left"/>
      <w:pPr>
        <w:ind w:left="720" w:hanging="360"/>
      </w:pPr>
    </w:lvl>
    <w:lvl w:ilvl="1" w:tplc="1BBE8FC0">
      <w:numFmt w:val="decimal"/>
      <w:lvlText w:val=""/>
      <w:lvlJc w:val="left"/>
    </w:lvl>
    <w:lvl w:ilvl="2" w:tplc="464C5848">
      <w:numFmt w:val="decimal"/>
      <w:lvlText w:val=""/>
      <w:lvlJc w:val="left"/>
    </w:lvl>
    <w:lvl w:ilvl="3" w:tplc="270AFD2C">
      <w:numFmt w:val="decimal"/>
      <w:lvlText w:val=""/>
      <w:lvlJc w:val="left"/>
    </w:lvl>
    <w:lvl w:ilvl="4" w:tplc="1DBE5928">
      <w:numFmt w:val="decimal"/>
      <w:lvlText w:val=""/>
      <w:lvlJc w:val="left"/>
    </w:lvl>
    <w:lvl w:ilvl="5" w:tplc="BCBE6ABC">
      <w:numFmt w:val="decimal"/>
      <w:lvlText w:val=""/>
      <w:lvlJc w:val="left"/>
    </w:lvl>
    <w:lvl w:ilvl="6" w:tplc="1F2428C4">
      <w:numFmt w:val="decimal"/>
      <w:lvlText w:val=""/>
      <w:lvlJc w:val="left"/>
    </w:lvl>
    <w:lvl w:ilvl="7" w:tplc="6DF24A5C">
      <w:numFmt w:val="decimal"/>
      <w:lvlText w:val=""/>
      <w:lvlJc w:val="left"/>
    </w:lvl>
    <w:lvl w:ilvl="8" w:tplc="42E26BF0">
      <w:numFmt w:val="decimal"/>
      <w:lvlText w:val=""/>
      <w:lvlJc w:val="left"/>
    </w:lvl>
  </w:abstractNum>
  <w:num w:numId="1" w16cid:durableId="1417510291">
    <w:abstractNumId w:val="0"/>
    <w:lvlOverride w:ilvl="0">
      <w:startOverride w:val="1"/>
    </w:lvlOverride>
  </w:num>
  <w:num w:numId="2" w16cid:durableId="46262547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3C2"/>
    <w:rsid w:val="00136E26"/>
    <w:rsid w:val="00322FC7"/>
    <w:rsid w:val="00527810"/>
    <w:rsid w:val="00BC4626"/>
    <w:rsid w:val="00CA23C2"/>
    <w:rsid w:val="00F92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6EF15A"/>
  <w15:docId w15:val="{CA8B26AC-EC2A-164D-A24A-5C5DB7EE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tsakshi2615@gmail.com</cp:lastModifiedBy>
  <cp:revision>2</cp:revision>
  <dcterms:created xsi:type="dcterms:W3CDTF">2026-03-20T06:24:00Z</dcterms:created>
  <dcterms:modified xsi:type="dcterms:W3CDTF">2026-03-20T06:24:00Z</dcterms:modified>
</cp:coreProperties>
</file>